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36B06C">
      <w:pPr>
        <w:spacing w:before="87" w:line="240" w:lineRule="auto"/>
        <w:ind w:left="1112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3"/>
          <w:sz w:val="43"/>
          <w:szCs w:val="43"/>
        </w:rPr>
        <w:t>山东省科学技术进步奖提名公示</w:t>
      </w:r>
    </w:p>
    <w:p w14:paraId="0DF01CA5">
      <w:pPr>
        <w:spacing w:line="240" w:lineRule="auto"/>
        <w:rPr>
          <w:rFonts w:ascii="Arial"/>
          <w:sz w:val="21"/>
        </w:rPr>
      </w:pPr>
    </w:p>
    <w:p w14:paraId="6A35C8C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440" w:lineRule="exact"/>
        <w:ind w:left="667"/>
        <w:textAlignment w:val="baseline"/>
        <w:outlineLvl w:val="1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7"/>
          <w:sz w:val="32"/>
          <w:szCs w:val="32"/>
        </w:rPr>
        <w:t>一、项目名称</w:t>
      </w:r>
    </w:p>
    <w:p w14:paraId="20DDA73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4" w:line="440" w:lineRule="exact"/>
        <w:ind w:left="659"/>
        <w:textAlignment w:val="baseline"/>
        <w:rPr>
          <w:rFonts w:hint="eastAsia"/>
          <w:spacing w:val="8"/>
          <w:sz w:val="32"/>
          <w:szCs w:val="32"/>
          <w:lang w:val="en-US" w:eastAsia="zh-CN"/>
        </w:rPr>
      </w:pPr>
      <w:r>
        <w:rPr>
          <w:rFonts w:hint="eastAsia"/>
          <w:spacing w:val="8"/>
          <w:sz w:val="32"/>
          <w:szCs w:val="32"/>
          <w:lang w:val="en-US" w:eastAsia="zh-CN"/>
        </w:rPr>
        <w:t>菌酶协同青贮与饲草料全程机械化关键技术创新及应用</w:t>
      </w:r>
    </w:p>
    <w:p w14:paraId="1B6855F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8" w:line="440" w:lineRule="exact"/>
        <w:ind w:left="667"/>
        <w:textAlignment w:val="baseline"/>
        <w:outlineLvl w:val="1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8"/>
          <w:sz w:val="32"/>
          <w:szCs w:val="32"/>
        </w:rPr>
        <w:t>二、提名者及提名意见</w:t>
      </w:r>
    </w:p>
    <w:p w14:paraId="7C3762D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4" w:line="440" w:lineRule="exact"/>
        <w:ind w:left="659"/>
        <w:textAlignment w:val="baseline"/>
        <w:rPr>
          <w:sz w:val="32"/>
          <w:szCs w:val="32"/>
        </w:rPr>
      </w:pPr>
      <w:r>
        <w:rPr>
          <w:b/>
          <w:bCs/>
          <w:spacing w:val="8"/>
          <w:sz w:val="32"/>
          <w:szCs w:val="32"/>
        </w:rPr>
        <w:t>提名者：</w:t>
      </w:r>
      <w:r>
        <w:rPr>
          <w:spacing w:val="8"/>
          <w:sz w:val="32"/>
          <w:szCs w:val="32"/>
        </w:rPr>
        <w:t>泰安市科学技术局</w:t>
      </w:r>
    </w:p>
    <w:p w14:paraId="75CB983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5" w:line="440" w:lineRule="exact"/>
        <w:ind w:left="659"/>
        <w:textAlignment w:val="baseline"/>
        <w:rPr>
          <w:sz w:val="32"/>
          <w:szCs w:val="32"/>
        </w:rPr>
      </w:pPr>
      <w:r>
        <w:rPr>
          <w:b/>
          <w:bCs/>
          <w:spacing w:val="3"/>
          <w:sz w:val="32"/>
          <w:szCs w:val="32"/>
        </w:rPr>
        <w:t>提名意见：</w:t>
      </w:r>
    </w:p>
    <w:p w14:paraId="77B58A23"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660" w:firstLineChars="200"/>
        <w:textAlignment w:val="baseline"/>
        <w:rPr>
          <w:rFonts w:hint="eastAsia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项目围绕解决饲草料生产技术薄弱、收获加工装备落后、生产效率低和产业化进程慢等问题，</w:t>
      </w:r>
      <w:r>
        <w:rPr>
          <w:rFonts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聚焦菌酶协同青贮理论技术、全程机械化加工装备、精准饲喂产业化体系三大维度</w:t>
      </w:r>
      <w:r>
        <w:rPr>
          <w:rFonts w:hint="eastAsia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创新</w:t>
      </w:r>
      <w:r>
        <w:rPr>
          <w:rFonts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，实现全产业链关键技术突破。</w:t>
      </w:r>
      <w:r>
        <w:rPr>
          <w:rFonts w:hint="default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解析了青贮菌酶双向耦合协同关键理论，</w:t>
      </w:r>
      <w:r>
        <w:rPr>
          <w:rFonts w:hint="eastAsia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明确了多类饲草原料菌酶适配机制</w:t>
      </w:r>
      <w:r>
        <w:rPr>
          <w:rFonts w:hint="default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，</w:t>
      </w:r>
      <w:r>
        <w:rPr>
          <w:rFonts w:hint="eastAsia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研发出三重递进微胶囊缓释菌酶协同青贮技术与产品，减轻了菌酶活性衰减，有效提高了青贮发酵稳定性与营养保存利用率。研发了多仿真一体化协同设计、变量精准喷洒、高效收贮裹包关键技术，创制出饲草料“收-切-破-喷-捆-裹-贮”全程机械化成套农机装备及系列配套作业设备。集成了靶向脱霉解毒、营养保鲜、智能加工、精准配饲技术，构建全混合日粮标准化生产体系，创新建立了牛羊分阶段动态营养配比模型与高效精准饲喂新模式，有效推动了饲草料产业化升级。</w:t>
      </w:r>
    </w:p>
    <w:p w14:paraId="5F5C99DD"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660" w:firstLineChars="200"/>
        <w:textAlignment w:val="baseline"/>
        <w:rPr>
          <w:rFonts w:hint="default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项目获授权发明专利31件，实用新型专利22件；软件著作权5项；制颁行业标准1项，地方标准14项；发表论文49篇，其中SCI论文7篇；出版著作3部；研制出新机械装备10种、新添加剂17款。研发的7项核心关键技术连续列为山东省畜牧业主推技术，成果在山东、河北、内蒙古等21个省区推广应用，经济、社会和生态效益显著。项目构建了“理论创新-技术研发-装备创制-体系构建-产业推广”的完整技术体系，山东农学会组织谯仕彦院士、印遇龙院士等专家对成果评价：“成果整体达到国际先进水平，其中青贮微生物菌剂制备技术等达到国际领先水平”。</w:t>
      </w:r>
    </w:p>
    <w:p w14:paraId="28DB6A6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8" w:line="440" w:lineRule="exact"/>
        <w:ind w:left="667"/>
        <w:textAlignment w:val="baseline"/>
        <w:outlineLvl w:val="1"/>
        <w:rPr>
          <w:rFonts w:ascii="黑体" w:hAnsi="黑体" w:eastAsia="黑体" w:cs="黑体"/>
          <w:spacing w:val="8"/>
          <w:sz w:val="32"/>
          <w:szCs w:val="32"/>
        </w:rPr>
      </w:pPr>
      <w:r>
        <w:rPr>
          <w:rFonts w:ascii="黑体" w:hAnsi="黑体" w:eastAsia="黑体" w:cs="黑体"/>
          <w:spacing w:val="8"/>
          <w:sz w:val="32"/>
          <w:szCs w:val="32"/>
        </w:rPr>
        <w:t>三、提名等级</w:t>
      </w:r>
    </w:p>
    <w:p w14:paraId="3FA35A6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2" w:line="440" w:lineRule="exact"/>
        <w:ind w:left="702"/>
        <w:textAlignment w:val="baseline"/>
        <w:rPr>
          <w:sz w:val="32"/>
          <w:szCs w:val="32"/>
        </w:rPr>
      </w:pPr>
      <w:r>
        <w:rPr>
          <w:spacing w:val="5"/>
          <w:sz w:val="32"/>
          <w:szCs w:val="32"/>
        </w:rPr>
        <w:t>山东省科学技术进步奖</w:t>
      </w:r>
      <w:r>
        <w:rPr>
          <w:rFonts w:hint="eastAsia"/>
          <w:spacing w:val="5"/>
          <w:sz w:val="32"/>
          <w:szCs w:val="32"/>
          <w:lang w:val="en-US" w:eastAsia="zh-CN"/>
        </w:rPr>
        <w:t>二</w:t>
      </w:r>
      <w:r>
        <w:rPr>
          <w:spacing w:val="5"/>
          <w:sz w:val="32"/>
          <w:szCs w:val="32"/>
        </w:rPr>
        <w:t>等奖</w:t>
      </w:r>
    </w:p>
    <w:p w14:paraId="72CED77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8" w:line="440" w:lineRule="exact"/>
        <w:ind w:left="667"/>
        <w:textAlignment w:val="baseline"/>
        <w:outlineLvl w:val="1"/>
        <w:rPr>
          <w:rFonts w:ascii="黑体" w:hAnsi="黑体" w:eastAsia="黑体" w:cs="黑体"/>
          <w:spacing w:val="8"/>
          <w:sz w:val="32"/>
          <w:szCs w:val="32"/>
        </w:rPr>
      </w:pPr>
      <w:r>
        <w:rPr>
          <w:rFonts w:ascii="黑体" w:hAnsi="黑体" w:eastAsia="黑体" w:cs="黑体"/>
          <w:spacing w:val="8"/>
          <w:sz w:val="32"/>
          <w:szCs w:val="32"/>
        </w:rPr>
        <w:t>四、项目简介</w:t>
      </w:r>
    </w:p>
    <w:p w14:paraId="34657375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660" w:firstLineChars="200"/>
        <w:textAlignment w:val="baseline"/>
        <w:rPr>
          <w:rFonts w:hint="eastAsia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</w:pPr>
      <w:r>
        <w:rPr>
          <w:rFonts w:hint="default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优质饲草料是牛羊产业高质量发展的物质基础。山东作为牛羊养殖和消费大省，产业规模化发展持续向好，但饲草料产业配套发展滞后，优质饲草料供给总量不足、品质参差不齐</w:t>
      </w:r>
      <w:r>
        <w:rPr>
          <w:rFonts w:hint="eastAsia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和</w:t>
      </w:r>
      <w:r>
        <w:rPr>
          <w:rFonts w:hint="default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产业化水平偏低</w:t>
      </w:r>
      <w:r>
        <w:rPr>
          <w:rFonts w:hint="eastAsia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，</w:t>
      </w:r>
      <w:r>
        <w:rPr>
          <w:rFonts w:hint="default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已成为制约牛羊产业提质增效、转型升级的</w:t>
      </w:r>
      <w:r>
        <w:rPr>
          <w:rFonts w:hint="eastAsia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主要</w:t>
      </w:r>
      <w:r>
        <w:rPr>
          <w:rFonts w:hint="default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瓶颈。</w:t>
      </w:r>
      <w:r>
        <w:rPr>
          <w:rFonts w:hint="eastAsia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为全面提升饲草料的质量，增加优质饲草料的供给，针对饲草料生产中存在的加工技术滞后、机械化水平偏低、精准饲喂体系不完善等关键问题</w:t>
      </w:r>
      <w:r>
        <w:rPr>
          <w:rFonts w:hint="default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，</w:t>
      </w:r>
      <w:r>
        <w:rPr>
          <w:rFonts w:hint="eastAsia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本项目</w:t>
      </w:r>
      <w:r>
        <w:rPr>
          <w:rFonts w:hint="default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聚焦菌酶协同青贮理论技术、全程机械化加工装备、精准饲喂</w:t>
      </w:r>
      <w:r>
        <w:rPr>
          <w:rFonts w:hint="eastAsia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转化</w:t>
      </w:r>
      <w:r>
        <w:rPr>
          <w:rFonts w:hint="default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体系三大维度</w:t>
      </w:r>
      <w:r>
        <w:rPr>
          <w:rFonts w:hint="eastAsia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创新</w:t>
      </w:r>
      <w:r>
        <w:rPr>
          <w:rFonts w:hint="default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，实现</w:t>
      </w:r>
      <w:r>
        <w:rPr>
          <w:rFonts w:hint="eastAsia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了</w:t>
      </w:r>
      <w:r>
        <w:rPr>
          <w:rFonts w:hint="default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全产业链关键技术突破</w:t>
      </w:r>
      <w:r>
        <w:rPr>
          <w:rFonts w:hint="eastAsia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。</w:t>
      </w:r>
    </w:p>
    <w:p w14:paraId="19B4BAE5"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660" w:firstLineChars="200"/>
        <w:textAlignment w:val="baseline"/>
        <w:rPr>
          <w:rFonts w:hint="default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</w:pPr>
      <w:r>
        <w:rPr>
          <w:rFonts w:hint="default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系统解析了不同生态区饲草青贮发酵全过程微生态变化，阐明了青贮菌酶双向耦合协同机理，明确了核心功能菌群的时序分工机制，构建了</w:t>
      </w:r>
      <w:r>
        <w:rPr>
          <w:rFonts w:hint="eastAsia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“菌-酶-底物-环境”</w:t>
      </w:r>
      <w:r>
        <w:rPr>
          <w:rFonts w:hint="default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四位一体互作网络，丰富完善了青贮微生态理论体系</w:t>
      </w:r>
      <w:r>
        <w:rPr>
          <w:rFonts w:hint="eastAsia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。</w:t>
      </w:r>
      <w:r>
        <w:rPr>
          <w:rFonts w:hint="default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建成地源性饲草料发酵菌种资源库，优选出5株地源性功能差异化高效</w:t>
      </w:r>
      <w:r>
        <w:rPr>
          <w:rFonts w:hint="eastAsia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青贮</w:t>
      </w:r>
      <w:r>
        <w:rPr>
          <w:rFonts w:hint="default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乳酸菌</w:t>
      </w:r>
      <w:r>
        <w:rPr>
          <w:rFonts w:hint="eastAsia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。</w:t>
      </w:r>
      <w:r>
        <w:rPr>
          <w:rFonts w:hint="default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创立了饲草料发酵酶等离子诱变定向改性生产技术，大幅提升酶活与耐逆性</w:t>
      </w:r>
      <w:r>
        <w:rPr>
          <w:rFonts w:hint="eastAsia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。</w:t>
      </w:r>
      <w:r>
        <w:rPr>
          <w:rFonts w:hint="default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发明了甘露醇-壳聚糖-大豆分离蛋白三重递进微胶囊包被技术，实现菌酶长效保活与时序靶向释放</w:t>
      </w:r>
      <w:r>
        <w:rPr>
          <w:rFonts w:hint="eastAsia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。</w:t>
      </w:r>
      <w:r>
        <w:rPr>
          <w:rFonts w:hint="default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针对豆科、高水分饲草、木本</w:t>
      </w:r>
      <w:r>
        <w:rPr>
          <w:rFonts w:hint="eastAsia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作物</w:t>
      </w:r>
      <w:r>
        <w:rPr>
          <w:rFonts w:hint="default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等原料，建立了多品类饲草菌酶协同青贮技术体系，显著提升青贮饲料发酵稳定性与营养利用率</w:t>
      </w:r>
      <w:r>
        <w:rPr>
          <w:rFonts w:hint="eastAsia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，</w:t>
      </w:r>
      <w:r>
        <w:rPr>
          <w:rFonts w:hint="default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为优质饲草料加工提供理论与产品双重支撑。</w:t>
      </w:r>
    </w:p>
    <w:p w14:paraId="7D3910C4"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660" w:firstLineChars="200"/>
        <w:textAlignment w:val="baseline"/>
        <w:rPr>
          <w:rFonts w:hint="default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</w:pPr>
      <w:r>
        <w:rPr>
          <w:rFonts w:hint="default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通过数字化仿真协同设计优化机械核心总成，迭代升级10款覆</w:t>
      </w:r>
      <w:r>
        <w:rPr>
          <w:rFonts w:hint="eastAsia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盖“收-切-破-喷-捆-裹-贮”</w:t>
      </w:r>
      <w:r>
        <w:rPr>
          <w:rFonts w:hint="default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全流程作业青贮</w:t>
      </w:r>
      <w:r>
        <w:rPr>
          <w:rFonts w:hint="eastAsia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机械</w:t>
      </w:r>
      <w:r>
        <w:rPr>
          <w:rFonts w:hint="default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装备。研发宽幅折叠模块化割台、四辊浮动可调间隙籽粒破碎机构、实现不对行、全品类、全地形适配收获</w:t>
      </w:r>
      <w:r>
        <w:rPr>
          <w:rFonts w:hint="eastAsia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。</w:t>
      </w:r>
      <w:r>
        <w:rPr>
          <w:rFonts w:hint="default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创新青贮菌酶制剂多传感智能变量精准喷洒系统，实现菌酶制剂高精度、均匀化喷施</w:t>
      </w:r>
      <w:r>
        <w:rPr>
          <w:rFonts w:hint="eastAsia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。</w:t>
      </w:r>
      <w:r>
        <w:rPr>
          <w:rFonts w:hint="default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同时创制一体化打捆裹包装备，破解青贮饲料漏气霉变难题，大幅提升青贮生产效率与标准化水平。</w:t>
      </w:r>
    </w:p>
    <w:p w14:paraId="50016F29"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660" w:firstLineChars="200"/>
        <w:textAlignment w:val="baseline"/>
        <w:rPr>
          <w:rFonts w:hint="eastAsia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</w:pPr>
      <w:r>
        <w:rPr>
          <w:rFonts w:hint="default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创新物理吸附、菌酶降解、</w:t>
      </w:r>
      <w:r>
        <w:rPr>
          <w:rFonts w:hint="eastAsia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植物</w:t>
      </w:r>
      <w:r>
        <w:rPr>
          <w:rFonts w:hint="default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修护三位一体链式</w:t>
      </w:r>
      <w:r>
        <w:rPr>
          <w:rFonts w:hint="eastAsia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靶向</w:t>
      </w:r>
      <w:r>
        <w:rPr>
          <w:rFonts w:hint="default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脱霉技术，大幅减少饲料营养流失</w:t>
      </w:r>
      <w:r>
        <w:rPr>
          <w:rFonts w:hint="eastAsia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。发明了</w:t>
      </w:r>
      <w:r>
        <w:rPr>
          <w:rFonts w:hint="default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外源菌酶协同二次发酵</w:t>
      </w:r>
      <w:r>
        <w:rPr>
          <w:rFonts w:hint="eastAsia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与</w:t>
      </w:r>
      <w:r>
        <w:rPr>
          <w:rFonts w:hint="default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低温冷制粒一体化青贮TMR制备工艺，建成标准化智能化TMR规模化生产线。</w:t>
      </w:r>
      <w:r>
        <w:rPr>
          <w:rFonts w:hint="eastAsia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研发</w:t>
      </w:r>
      <w:r>
        <w:rPr>
          <w:rFonts w:hint="default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分生长阶段精准饲喂利用技术，优化形成4大类47套分</w:t>
      </w:r>
      <w:r>
        <w:rPr>
          <w:rFonts w:hint="eastAsia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生长</w:t>
      </w:r>
      <w:r>
        <w:rPr>
          <w:rFonts w:hint="default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阶段精准TMR日粮配方</w:t>
      </w:r>
      <w:r>
        <w:rPr>
          <w:rFonts w:hint="eastAsia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。</w:t>
      </w:r>
      <w:r>
        <w:rPr>
          <w:rFonts w:hint="default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集成完整优质饲草料标准化生产利用和产业化推进体系，有效提升畜禽生产性能与饲料转化率。</w:t>
      </w:r>
    </w:p>
    <w:p w14:paraId="47F47C8F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660" w:firstLineChars="200"/>
        <w:textAlignment w:val="baseline"/>
        <w:rPr>
          <w:rFonts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项目获授权发明专利31件，实用新型专利22件；软件著作权5项；制颁行业标准1项，地方标准14项；发表论文49篇，其中SCI论文7篇；出版著作3部；研制出新机械装备10种、新添加剂17款。研发的7项核心关键技术连续列为山东省畜牧业主推技术，成果在山东、河北、内蒙古等21个省区推广应用，累计生产优质饲草料1.8亿吨，覆盖奶牛121万头、肉牛146万头和肉羊850万只。近二年应用单位新增销售额17.32亿元，新增利润4.65亿元。项目构建了“理论创新-技术研发-装备创制-体系构建-产业推广”的完整技术体系，</w:t>
      </w:r>
      <w:r>
        <w:rPr>
          <w:rFonts w:hint="default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整体技术经专家</w:t>
      </w:r>
      <w:r>
        <w:rPr>
          <w:rFonts w:hint="eastAsia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评价</w:t>
      </w:r>
      <w:r>
        <w:rPr>
          <w:rFonts w:hint="default" w:ascii="仿宋" w:hAnsi="仿宋" w:eastAsia="仿宋" w:cs="仿宋"/>
          <w:snapToGrid w:val="0"/>
          <w:color w:val="000000"/>
          <w:spacing w:val="5"/>
          <w:kern w:val="0"/>
          <w:sz w:val="32"/>
          <w:szCs w:val="32"/>
          <w:lang w:val="en-US" w:eastAsia="zh-CN" w:bidi="ar-SA"/>
        </w:rPr>
        <w:t>达到国际先进水平。</w:t>
      </w:r>
    </w:p>
    <w:p w14:paraId="47654023">
      <w:pPr>
        <w:spacing w:before="115" w:line="240" w:lineRule="auto"/>
        <w:ind w:left="733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2"/>
          <w:sz w:val="32"/>
          <w:szCs w:val="32"/>
        </w:rPr>
        <w:t>五、主要知识产权和标准规范等目录</w:t>
      </w:r>
    </w:p>
    <w:p w14:paraId="6557B590">
      <w:pPr>
        <w:spacing w:line="240" w:lineRule="auto"/>
      </w:pPr>
    </w:p>
    <w:tbl>
      <w:tblPr>
        <w:tblStyle w:val="10"/>
        <w:tblW w:w="851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6"/>
        <w:gridCol w:w="1258"/>
        <w:gridCol w:w="2325"/>
        <w:gridCol w:w="969"/>
        <w:gridCol w:w="1680"/>
        <w:gridCol w:w="1618"/>
      </w:tblGrid>
      <w:tr w14:paraId="45CFF0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2" w:hRule="atLeast"/>
        </w:trPr>
        <w:tc>
          <w:tcPr>
            <w:tcW w:w="666" w:type="dxa"/>
            <w:textDirection w:val="tbRlV"/>
            <w:vAlign w:val="center"/>
          </w:tcPr>
          <w:p w14:paraId="21E43263">
            <w:pPr>
              <w:pStyle w:val="11"/>
              <w:spacing w:before="211" w:line="240" w:lineRule="auto"/>
              <w:ind w:left="195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序</w:t>
            </w:r>
            <w:r>
              <w:rPr>
                <w:rFonts w:hint="eastAsia" w:asciiTheme="minorEastAsia" w:hAnsiTheme="minorEastAsia" w:eastAsiaTheme="minorEastAsia" w:cstheme="minorEastAsia"/>
                <w:spacing w:val="-47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号</w:t>
            </w:r>
          </w:p>
        </w:tc>
        <w:tc>
          <w:tcPr>
            <w:tcW w:w="1258" w:type="dxa"/>
            <w:vAlign w:val="center"/>
          </w:tcPr>
          <w:p w14:paraId="56971FFA">
            <w:pPr>
              <w:pStyle w:val="11"/>
              <w:spacing w:before="42" w:line="240" w:lineRule="auto"/>
              <w:ind w:left="20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</w:rPr>
              <w:t>知识产权</w:t>
            </w:r>
          </w:p>
          <w:p w14:paraId="1ED4C9D3">
            <w:pPr>
              <w:pStyle w:val="11"/>
              <w:spacing w:before="24" w:line="240" w:lineRule="auto"/>
              <w:ind w:left="12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6"/>
                <w:sz w:val="24"/>
                <w:szCs w:val="24"/>
              </w:rPr>
              <w:t>（标准）类</w:t>
            </w:r>
          </w:p>
          <w:p w14:paraId="7BC60329">
            <w:pPr>
              <w:pStyle w:val="11"/>
              <w:spacing w:before="27" w:line="240" w:lineRule="auto"/>
              <w:ind w:left="561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别</w:t>
            </w:r>
          </w:p>
        </w:tc>
        <w:tc>
          <w:tcPr>
            <w:tcW w:w="2325" w:type="dxa"/>
            <w:vAlign w:val="center"/>
          </w:tcPr>
          <w:p w14:paraId="6FB351D7">
            <w:pPr>
              <w:pStyle w:val="11"/>
              <w:spacing w:before="194" w:line="240" w:lineRule="auto"/>
              <w:ind w:left="598" w:right="128" w:hanging="48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5"/>
                <w:sz w:val="24"/>
                <w:szCs w:val="24"/>
              </w:rPr>
              <w:t>知识产权（标准）</w:t>
            </w: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</w:rPr>
              <w:t>具体名称</w:t>
            </w:r>
          </w:p>
        </w:tc>
        <w:tc>
          <w:tcPr>
            <w:tcW w:w="969" w:type="dxa"/>
            <w:vAlign w:val="center"/>
          </w:tcPr>
          <w:p w14:paraId="1D5EE986">
            <w:pPr>
              <w:pStyle w:val="11"/>
              <w:spacing w:before="194" w:line="240" w:lineRule="auto"/>
              <w:ind w:left="126" w:right="25" w:firstLine="201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7"/>
                <w:sz w:val="24"/>
                <w:szCs w:val="24"/>
              </w:rPr>
              <w:t>国家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11"/>
                <w:sz w:val="24"/>
                <w:szCs w:val="24"/>
              </w:rPr>
              <w:t>（地区）</w:t>
            </w:r>
          </w:p>
        </w:tc>
        <w:tc>
          <w:tcPr>
            <w:tcW w:w="1680" w:type="dxa"/>
            <w:vAlign w:val="center"/>
          </w:tcPr>
          <w:p w14:paraId="486493EF">
            <w:pPr>
              <w:pStyle w:val="11"/>
              <w:spacing w:before="194" w:line="240" w:lineRule="auto"/>
              <w:ind w:left="368" w:right="118" w:hanging="24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授权（标准发</w:t>
            </w:r>
            <w:r>
              <w:rPr>
                <w:rFonts w:hint="eastAsia" w:asciiTheme="minorEastAsia" w:hAnsiTheme="minorEastAsia" w:eastAsiaTheme="minorEastAsia" w:cstheme="minorEastAsia"/>
                <w:spacing w:val="-15"/>
                <w:sz w:val="24"/>
                <w:szCs w:val="24"/>
              </w:rPr>
              <w:t>布）</w:t>
            </w:r>
            <w:r>
              <w:rPr>
                <w:rFonts w:hint="eastAsia" w:asciiTheme="minorEastAsia" w:hAnsiTheme="minorEastAsia" w:eastAsiaTheme="minorEastAsia" w:cstheme="minorEastAsia"/>
                <w:spacing w:val="-70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15"/>
                <w:sz w:val="24"/>
                <w:szCs w:val="24"/>
              </w:rPr>
              <w:t>日期</w:t>
            </w:r>
          </w:p>
        </w:tc>
        <w:tc>
          <w:tcPr>
            <w:tcW w:w="1618" w:type="dxa"/>
            <w:vAlign w:val="center"/>
          </w:tcPr>
          <w:p w14:paraId="67353E21">
            <w:pPr>
              <w:pStyle w:val="11"/>
              <w:spacing w:before="41" w:line="240" w:lineRule="auto"/>
              <w:ind w:left="11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8"/>
                <w:sz w:val="24"/>
                <w:szCs w:val="24"/>
              </w:rPr>
              <w:t>证书编号（标</w:t>
            </w:r>
          </w:p>
          <w:p w14:paraId="55E21755">
            <w:pPr>
              <w:pStyle w:val="11"/>
              <w:spacing w:before="24" w:line="240" w:lineRule="auto"/>
              <w:ind w:left="21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准批准发布</w:t>
            </w:r>
          </w:p>
          <w:p w14:paraId="2B347A72">
            <w:pPr>
              <w:pStyle w:val="11"/>
              <w:spacing w:before="28" w:line="240" w:lineRule="auto"/>
              <w:ind w:left="46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5"/>
                <w:sz w:val="24"/>
                <w:szCs w:val="24"/>
              </w:rPr>
              <w:t>部门）</w:t>
            </w:r>
          </w:p>
        </w:tc>
      </w:tr>
      <w:tr w14:paraId="209CEF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atLeast"/>
        </w:trPr>
        <w:tc>
          <w:tcPr>
            <w:tcW w:w="666" w:type="dxa"/>
            <w:vAlign w:val="center"/>
          </w:tcPr>
          <w:p w14:paraId="0C40EB79">
            <w:pPr>
              <w:spacing w:before="232"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</w:t>
            </w:r>
          </w:p>
        </w:tc>
        <w:tc>
          <w:tcPr>
            <w:tcW w:w="1258" w:type="dxa"/>
            <w:vAlign w:val="center"/>
          </w:tcPr>
          <w:p w14:paraId="0789DB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发明专利</w:t>
            </w:r>
          </w:p>
        </w:tc>
        <w:tc>
          <w:tcPr>
            <w:tcW w:w="2325" w:type="dxa"/>
            <w:shd w:val="clear" w:color="auto" w:fill="auto"/>
            <w:vAlign w:val="center"/>
          </w:tcPr>
          <w:p w14:paraId="432592FE">
            <w:pPr>
              <w:pStyle w:val="3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/>
                <w:color w:val="000000"/>
                <w:sz w:val="21"/>
                <w:szCs w:val="21"/>
              </w:rPr>
              <w:t>一株布氏乳杆菌及其青贮饲料发酵剂</w:t>
            </w:r>
          </w:p>
        </w:tc>
        <w:tc>
          <w:tcPr>
            <w:tcW w:w="969" w:type="dxa"/>
            <w:vAlign w:val="center"/>
          </w:tcPr>
          <w:p w14:paraId="13820C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中国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0D13F6D">
            <w:pPr>
              <w:pStyle w:val="3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/>
                <w:color w:val="000000"/>
                <w:sz w:val="21"/>
                <w:szCs w:val="21"/>
                <w:lang w:val="en-US" w:eastAsia="zh-CN"/>
              </w:rPr>
              <w:t>2024-01-05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091ED1DB">
            <w:pPr>
              <w:pStyle w:val="3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/>
                <w:color w:val="000000"/>
                <w:sz w:val="21"/>
                <w:szCs w:val="21"/>
                <w:lang w:eastAsia="zh-CN"/>
              </w:rPr>
              <w:t>第</w:t>
            </w:r>
            <w:r>
              <w:rPr>
                <w:rFonts w:hint="eastAsia" w:ascii="Times New Roman"/>
                <w:color w:val="000000"/>
                <w:sz w:val="21"/>
                <w:szCs w:val="21"/>
                <w:lang w:val="en-US" w:eastAsia="zh-CN"/>
              </w:rPr>
              <w:t>6604743号</w:t>
            </w:r>
          </w:p>
        </w:tc>
      </w:tr>
      <w:tr w14:paraId="7DB574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7" w:hRule="atLeast"/>
        </w:trPr>
        <w:tc>
          <w:tcPr>
            <w:tcW w:w="666" w:type="dxa"/>
            <w:vAlign w:val="center"/>
          </w:tcPr>
          <w:p w14:paraId="54FAA615">
            <w:pPr>
              <w:spacing w:before="69" w:line="240" w:lineRule="auto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5E6903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发明专利</w:t>
            </w:r>
          </w:p>
        </w:tc>
        <w:tc>
          <w:tcPr>
            <w:tcW w:w="2325" w:type="dxa"/>
            <w:shd w:val="clear" w:color="auto" w:fill="auto"/>
            <w:vAlign w:val="center"/>
          </w:tcPr>
          <w:p w14:paraId="745EAEEE">
            <w:pPr>
              <w:pStyle w:val="3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Times New Roman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/>
                <w:color w:val="000000"/>
                <w:sz w:val="21"/>
                <w:szCs w:val="21"/>
              </w:rPr>
              <w:t>一种提高益生菌抗逆性的微胶囊及其制备方法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47DC07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中国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43DC65E">
            <w:pPr>
              <w:pStyle w:val="3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Times New Roman" w:hAnsi="Arial" w:eastAsia="宋体" w:cs="Arial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/>
                <w:color w:val="000000"/>
                <w:sz w:val="21"/>
                <w:szCs w:val="21"/>
                <w:lang w:val="en-US" w:eastAsia="zh-CN"/>
              </w:rPr>
              <w:t>2022-05-24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36D173E4">
            <w:pPr>
              <w:pStyle w:val="3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Times New Roman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/>
                <w:color w:val="000000"/>
                <w:sz w:val="21"/>
                <w:szCs w:val="21"/>
              </w:rPr>
              <w:t>第5147096号</w:t>
            </w:r>
          </w:p>
        </w:tc>
      </w:tr>
      <w:tr w14:paraId="1625CB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atLeast"/>
        </w:trPr>
        <w:tc>
          <w:tcPr>
            <w:tcW w:w="666" w:type="dxa"/>
            <w:vAlign w:val="center"/>
          </w:tcPr>
          <w:p w14:paraId="379BAFF8">
            <w:pPr>
              <w:spacing w:before="69" w:line="240" w:lineRule="auto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4A4717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发明专利</w:t>
            </w:r>
          </w:p>
        </w:tc>
        <w:tc>
          <w:tcPr>
            <w:tcW w:w="2325" w:type="dxa"/>
            <w:shd w:val="clear" w:color="auto" w:fill="auto"/>
            <w:vAlign w:val="center"/>
          </w:tcPr>
          <w:p w14:paraId="636FE663">
            <w:pPr>
              <w:pStyle w:val="3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Times New Roman" w:hAnsi="Arial" w:eastAsia="宋体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Times New Roman"/>
                <w:color w:val="000000"/>
                <w:sz w:val="21"/>
                <w:szCs w:val="21"/>
                <w:lang w:val="en-US" w:eastAsia="zh-CN"/>
              </w:rPr>
              <w:t>一种复合菌酶生物发酵剂及其应用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37816D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中国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DFEBC3E">
            <w:pPr>
              <w:pStyle w:val="3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2023-10-10</w:t>
            </w:r>
          </w:p>
          <w:p w14:paraId="024C0131">
            <w:pPr>
              <w:pStyle w:val="3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16B2FE9D">
            <w:pPr>
              <w:pStyle w:val="3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第</w:t>
            </w:r>
            <w:bookmarkStart w:id="0" w:name="_GoBack"/>
            <w:bookmarkEnd w:id="0"/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6385044 号</w:t>
            </w:r>
          </w:p>
          <w:p w14:paraId="39F80F14">
            <w:pPr>
              <w:pStyle w:val="3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Times New Roman" w:hAnsi="Arial" w:eastAsia="宋体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 w14:paraId="502904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666" w:type="dxa"/>
            <w:vAlign w:val="center"/>
          </w:tcPr>
          <w:p w14:paraId="10C42B75">
            <w:pPr>
              <w:spacing w:before="69" w:line="240" w:lineRule="auto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5FEE93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发明专利</w:t>
            </w:r>
          </w:p>
        </w:tc>
        <w:tc>
          <w:tcPr>
            <w:tcW w:w="2325" w:type="dxa"/>
            <w:shd w:val="clear" w:color="auto" w:fill="auto"/>
            <w:vAlign w:val="center"/>
          </w:tcPr>
          <w:p w14:paraId="726EA976">
            <w:pPr>
              <w:pStyle w:val="3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方捆打捆包膜一体机装置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2BD0D2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中国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95B0B84">
            <w:pPr>
              <w:pStyle w:val="3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2023-09-22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2F08C91F">
            <w:pPr>
              <w:pStyle w:val="3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/>
                <w:color w:val="000000"/>
                <w:sz w:val="21"/>
                <w:szCs w:val="21"/>
              </w:rPr>
              <w:t>第</w:t>
            </w:r>
            <w:r>
              <w:rPr>
                <w:rFonts w:hint="eastAsia" w:ascii="Times New Roman"/>
                <w:color w:val="000000"/>
                <w:sz w:val="21"/>
                <w:szCs w:val="21"/>
                <w:lang w:val="en-US" w:eastAsia="zh-CN"/>
              </w:rPr>
              <w:t>6684403</w:t>
            </w:r>
            <w:r>
              <w:rPr>
                <w:rFonts w:hint="eastAsia" w:ascii="Times New Roman"/>
                <w:color w:val="000000"/>
                <w:sz w:val="21"/>
                <w:szCs w:val="21"/>
              </w:rPr>
              <w:t>号</w:t>
            </w:r>
          </w:p>
        </w:tc>
      </w:tr>
      <w:tr w14:paraId="5CC1C8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3" w:hRule="atLeast"/>
        </w:trPr>
        <w:tc>
          <w:tcPr>
            <w:tcW w:w="666" w:type="dxa"/>
            <w:vAlign w:val="center"/>
          </w:tcPr>
          <w:p w14:paraId="6C812245">
            <w:pPr>
              <w:spacing w:before="69" w:line="240" w:lineRule="auto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63587D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标准</w:t>
            </w:r>
          </w:p>
        </w:tc>
        <w:tc>
          <w:tcPr>
            <w:tcW w:w="2325" w:type="dxa"/>
            <w:shd w:val="clear" w:color="auto" w:fill="auto"/>
            <w:vAlign w:val="center"/>
          </w:tcPr>
          <w:p w14:paraId="16DCF5CC">
            <w:pPr>
              <w:pStyle w:val="3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青贮饲料生产机械安全操作技术规范第 1-3部分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33C0AB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中国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8D36546">
            <w:pPr>
              <w:pStyle w:val="3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2020-04-03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3BB3F922">
            <w:pPr>
              <w:pStyle w:val="3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山东省市场监督管理局</w:t>
            </w:r>
          </w:p>
        </w:tc>
      </w:tr>
      <w:tr w14:paraId="5338BE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9" w:hRule="atLeast"/>
        </w:trPr>
        <w:tc>
          <w:tcPr>
            <w:tcW w:w="666" w:type="dxa"/>
            <w:vAlign w:val="center"/>
          </w:tcPr>
          <w:p w14:paraId="13E72724">
            <w:pPr>
              <w:spacing w:before="69" w:line="240" w:lineRule="auto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5118A1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发明专利</w:t>
            </w:r>
          </w:p>
        </w:tc>
        <w:tc>
          <w:tcPr>
            <w:tcW w:w="2325" w:type="dxa"/>
            <w:shd w:val="clear" w:color="auto" w:fill="auto"/>
            <w:vAlign w:val="center"/>
          </w:tcPr>
          <w:p w14:paraId="49A7A925">
            <w:pPr>
              <w:pStyle w:val="3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/>
                <w:color w:val="000000"/>
                <w:sz w:val="21"/>
                <w:szCs w:val="21"/>
              </w:rPr>
              <w:t>BIOLOGICAL PREPARATION FOR REMOVING MYCOTOXINS FROM FEED, AND PREPARATION METHOD AND APPLICATION THEREOF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0F4A2EE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南非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9C66631">
            <w:pPr>
              <w:pStyle w:val="3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/>
                <w:color w:val="000000"/>
                <w:sz w:val="21"/>
                <w:szCs w:val="21"/>
              </w:rPr>
              <w:t>202</w:t>
            </w:r>
            <w:r>
              <w:rPr>
                <w:rFonts w:hint="eastAsia" w:ascii="Times New Roman"/>
                <w:color w:val="000000"/>
                <w:sz w:val="21"/>
                <w:szCs w:val="21"/>
                <w:lang w:val="en-US" w:eastAsia="zh-CN"/>
              </w:rPr>
              <w:t>3</w:t>
            </w:r>
            <w:r>
              <w:rPr>
                <w:rFonts w:ascii="Times New Roman"/>
                <w:color w:val="000000"/>
                <w:sz w:val="21"/>
                <w:szCs w:val="21"/>
              </w:rPr>
              <w:t>-0</w:t>
            </w:r>
            <w:r>
              <w:rPr>
                <w:rFonts w:hint="eastAsia" w:ascii="Times New Roman"/>
                <w:color w:val="000000"/>
                <w:sz w:val="21"/>
                <w:szCs w:val="21"/>
                <w:lang w:val="en-US" w:eastAsia="zh-CN"/>
              </w:rPr>
              <w:t>9</w:t>
            </w:r>
            <w:r>
              <w:rPr>
                <w:rFonts w:ascii="Times New Roman"/>
                <w:color w:val="000000"/>
                <w:sz w:val="21"/>
                <w:szCs w:val="21"/>
              </w:rPr>
              <w:t>-2</w:t>
            </w:r>
            <w:r>
              <w:rPr>
                <w:rFonts w:hint="eastAsia" w:ascii="Times New Roman"/>
                <w:color w:val="00000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59304A76">
            <w:pPr>
              <w:pStyle w:val="3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napToGrid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/>
                <w:color w:val="000000"/>
                <w:sz w:val="21"/>
                <w:szCs w:val="21"/>
                <w:lang w:val="en-US" w:eastAsia="zh-CN"/>
              </w:rPr>
              <w:t>2023/05928</w:t>
            </w:r>
          </w:p>
        </w:tc>
      </w:tr>
      <w:tr w14:paraId="308DE4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9" w:hRule="atLeast"/>
        </w:trPr>
        <w:tc>
          <w:tcPr>
            <w:tcW w:w="666" w:type="dxa"/>
            <w:vAlign w:val="center"/>
          </w:tcPr>
          <w:p w14:paraId="17C91A8D">
            <w:pPr>
              <w:spacing w:before="69" w:line="240" w:lineRule="auto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2D10FE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发明专利</w:t>
            </w:r>
          </w:p>
        </w:tc>
        <w:tc>
          <w:tcPr>
            <w:tcW w:w="2325" w:type="dxa"/>
            <w:shd w:val="clear" w:color="auto" w:fill="auto"/>
            <w:vAlign w:val="center"/>
          </w:tcPr>
          <w:p w14:paraId="0CF57682">
            <w:pPr>
              <w:pStyle w:val="3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/>
                <w:color w:val="000000"/>
                <w:sz w:val="21"/>
                <w:szCs w:val="21"/>
              </w:rPr>
              <w:t>一种全株青绿玉米颗粒饲料生产方法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44F48C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中国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B5AA299">
            <w:pPr>
              <w:pStyle w:val="3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color w:val="000000"/>
                <w:sz w:val="21"/>
                <w:szCs w:val="21"/>
                <w:lang w:val="en-US" w:eastAsia="zh-CN"/>
              </w:rPr>
              <w:t>2017-07-09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7C482EAC">
            <w:pPr>
              <w:pStyle w:val="3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第 63850</w:t>
            </w: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62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号</w:t>
            </w:r>
          </w:p>
        </w:tc>
      </w:tr>
      <w:tr w14:paraId="5A2277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5" w:hRule="atLeast"/>
        </w:trPr>
        <w:tc>
          <w:tcPr>
            <w:tcW w:w="666" w:type="dxa"/>
            <w:vAlign w:val="center"/>
          </w:tcPr>
          <w:p w14:paraId="21F96AB4">
            <w:pPr>
              <w:spacing w:before="69" w:line="240" w:lineRule="auto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2C3673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发明专利</w:t>
            </w:r>
          </w:p>
        </w:tc>
        <w:tc>
          <w:tcPr>
            <w:tcW w:w="2325" w:type="dxa"/>
            <w:shd w:val="clear" w:color="auto" w:fill="auto"/>
            <w:vAlign w:val="center"/>
          </w:tcPr>
          <w:p w14:paraId="14A15918">
            <w:pPr>
              <w:pStyle w:val="3"/>
              <w:tabs>
                <w:tab w:val="left" w:pos="487"/>
              </w:tabs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青贮饲料全混合日粮生物发酵制备智能化一体机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19C68D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中国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33DB00C">
            <w:pPr>
              <w:pStyle w:val="3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Times New Roman" w:hAnsi="Arial" w:eastAsia="Arial" w:cs="Times New Roman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color w:val="000000"/>
                <w:sz w:val="21"/>
                <w:szCs w:val="21"/>
                <w:lang w:val="en-US" w:eastAsia="zh-CN"/>
              </w:rPr>
              <w:t>2023-09-19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526DAA84">
            <w:pPr>
              <w:pStyle w:val="3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Times New Roman" w:hAnsi="Arial" w:eastAsia="Arial" w:cs="Times New Roman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color w:val="000000"/>
                <w:sz w:val="21"/>
                <w:szCs w:val="21"/>
                <w:lang w:val="en-US" w:eastAsia="zh-CN"/>
              </w:rPr>
              <w:t>第6333612号</w:t>
            </w:r>
          </w:p>
        </w:tc>
      </w:tr>
      <w:tr w14:paraId="69EFA9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666" w:type="dxa"/>
            <w:vAlign w:val="center"/>
          </w:tcPr>
          <w:p w14:paraId="2AD19D59">
            <w:pPr>
              <w:spacing w:before="69" w:line="240" w:lineRule="auto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50ECBB5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发明专利</w:t>
            </w:r>
          </w:p>
        </w:tc>
        <w:tc>
          <w:tcPr>
            <w:tcW w:w="2325" w:type="dxa"/>
            <w:shd w:val="clear" w:color="auto" w:fill="auto"/>
            <w:vAlign w:val="center"/>
          </w:tcPr>
          <w:p w14:paraId="7EC1977A">
            <w:pPr>
              <w:pStyle w:val="3"/>
              <w:tabs>
                <w:tab w:val="left" w:pos="487"/>
              </w:tabs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Times New Roman" w:hAnsi="Arial" w:eastAsia="Arial" w:cs="Times New Roman"/>
                <w:snapToGrid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一种青贮全混合日粮智能化全自动压制打包装置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746C48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中国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324F5C9">
            <w:pPr>
              <w:pStyle w:val="3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Times New Roman" w:hAnsi="Arial" w:eastAsia="Arial" w:cs="Times New Roman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color w:val="000000"/>
                <w:sz w:val="21"/>
                <w:szCs w:val="21"/>
                <w:lang w:val="en-US" w:eastAsia="zh-CN"/>
              </w:rPr>
              <w:t>2023-08-22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5FE1A113">
            <w:pPr>
              <w:pStyle w:val="3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Times New Roman" w:hAnsi="Arial" w:eastAsia="Arial" w:cs="Times New Roman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color w:val="000000"/>
                <w:sz w:val="21"/>
                <w:szCs w:val="21"/>
                <w:lang w:val="en-US" w:eastAsia="zh-CN"/>
              </w:rPr>
              <w:t>第6259966号</w:t>
            </w:r>
          </w:p>
        </w:tc>
      </w:tr>
      <w:tr w14:paraId="0257B0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7" w:hRule="atLeast"/>
        </w:trPr>
        <w:tc>
          <w:tcPr>
            <w:tcW w:w="666" w:type="dxa"/>
            <w:vAlign w:val="center"/>
          </w:tcPr>
          <w:p w14:paraId="02063535">
            <w:pPr>
              <w:spacing w:before="69" w:line="240" w:lineRule="auto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764BCA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发明专利</w:t>
            </w:r>
          </w:p>
        </w:tc>
        <w:tc>
          <w:tcPr>
            <w:tcW w:w="2325" w:type="dxa"/>
            <w:shd w:val="clear" w:color="auto" w:fill="auto"/>
            <w:vAlign w:val="center"/>
          </w:tcPr>
          <w:p w14:paraId="7F1C351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一株高产果胶酶的黑曲霉菌株及其应用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6F84A2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中国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1ABC1B3">
            <w:pPr>
              <w:pStyle w:val="3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2021-06-18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41275378">
            <w:pPr>
              <w:pStyle w:val="3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第 4492212 号</w:t>
            </w:r>
          </w:p>
        </w:tc>
      </w:tr>
    </w:tbl>
    <w:p w14:paraId="26B4D7A8">
      <w:pPr>
        <w:spacing w:before="290" w:line="240" w:lineRule="auto"/>
        <w:ind w:left="734"/>
        <w:outlineLvl w:val="1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-2"/>
          <w:sz w:val="30"/>
          <w:szCs w:val="30"/>
        </w:rPr>
        <w:t>六、主要完成人、主要完成单位情况</w:t>
      </w:r>
    </w:p>
    <w:p w14:paraId="3D7C624C">
      <w:pPr>
        <w:spacing w:line="240" w:lineRule="auto"/>
      </w:pPr>
    </w:p>
    <w:tbl>
      <w:tblPr>
        <w:tblStyle w:val="10"/>
        <w:tblW w:w="853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0"/>
        <w:gridCol w:w="1249"/>
        <w:gridCol w:w="3310"/>
        <w:gridCol w:w="3313"/>
      </w:tblGrid>
      <w:tr w14:paraId="2F65EF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</w:trPr>
        <w:tc>
          <w:tcPr>
            <w:tcW w:w="8532" w:type="dxa"/>
            <w:gridSpan w:val="4"/>
            <w:vAlign w:val="top"/>
          </w:tcPr>
          <w:p w14:paraId="469F1598">
            <w:pPr>
              <w:pStyle w:val="11"/>
              <w:spacing w:before="35" w:line="240" w:lineRule="auto"/>
              <w:ind w:left="3538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主要完成人情况</w:t>
            </w:r>
          </w:p>
        </w:tc>
      </w:tr>
      <w:tr w14:paraId="43811B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660" w:type="dxa"/>
            <w:vAlign w:val="top"/>
          </w:tcPr>
          <w:p w14:paraId="797923D3">
            <w:pPr>
              <w:pStyle w:val="11"/>
              <w:spacing w:before="33" w:line="240" w:lineRule="auto"/>
              <w:ind w:left="12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排名</w:t>
            </w:r>
          </w:p>
        </w:tc>
        <w:tc>
          <w:tcPr>
            <w:tcW w:w="1249" w:type="dxa"/>
            <w:vAlign w:val="top"/>
          </w:tcPr>
          <w:p w14:paraId="1E39D39F">
            <w:pPr>
              <w:pStyle w:val="11"/>
              <w:spacing w:before="33" w:line="240" w:lineRule="auto"/>
              <w:ind w:left="41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姓名</w:t>
            </w:r>
          </w:p>
        </w:tc>
        <w:tc>
          <w:tcPr>
            <w:tcW w:w="3310" w:type="dxa"/>
            <w:vAlign w:val="top"/>
          </w:tcPr>
          <w:p w14:paraId="6D25A032">
            <w:pPr>
              <w:pStyle w:val="11"/>
              <w:spacing w:before="33" w:line="240" w:lineRule="auto"/>
              <w:ind w:left="124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工作单位</w:t>
            </w:r>
          </w:p>
        </w:tc>
        <w:tc>
          <w:tcPr>
            <w:tcW w:w="3313" w:type="dxa"/>
            <w:vAlign w:val="top"/>
          </w:tcPr>
          <w:p w14:paraId="72CAFF68">
            <w:pPr>
              <w:pStyle w:val="11"/>
              <w:spacing w:before="33" w:line="240" w:lineRule="auto"/>
              <w:ind w:left="1242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完成单位</w:t>
            </w:r>
          </w:p>
        </w:tc>
      </w:tr>
      <w:tr w14:paraId="60FA0E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660" w:type="dxa"/>
            <w:vAlign w:val="top"/>
          </w:tcPr>
          <w:p w14:paraId="6B9949C8">
            <w:pPr>
              <w:spacing w:before="67" w:line="240" w:lineRule="auto"/>
              <w:ind w:left="29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1249" w:type="dxa"/>
            <w:vAlign w:val="center"/>
          </w:tcPr>
          <w:p w14:paraId="2A1FE9AF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王诚</w:t>
            </w:r>
          </w:p>
        </w:tc>
        <w:tc>
          <w:tcPr>
            <w:tcW w:w="3310" w:type="dxa"/>
            <w:vAlign w:val="center"/>
          </w:tcPr>
          <w:p w14:paraId="01FBD7C6">
            <w:pPr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山东健源生物科技有限公司</w:t>
            </w:r>
          </w:p>
        </w:tc>
        <w:tc>
          <w:tcPr>
            <w:tcW w:w="3313" w:type="dxa"/>
            <w:shd w:val="clear" w:color="auto" w:fill="auto"/>
            <w:vAlign w:val="center"/>
          </w:tcPr>
          <w:p w14:paraId="0B651B38">
            <w:pPr>
              <w:jc w:val="center"/>
              <w:rPr>
                <w:rFonts w:hint="eastAsia" w:eastAsia="宋体"/>
                <w:sz w:val="20"/>
                <w:szCs w:val="20"/>
                <w:lang w:val="en-US" w:eastAsia="en-US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山东健源生物科技有限公司</w:t>
            </w:r>
          </w:p>
        </w:tc>
      </w:tr>
      <w:tr w14:paraId="309328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660" w:type="dxa"/>
            <w:vAlign w:val="top"/>
          </w:tcPr>
          <w:p w14:paraId="40C1A967">
            <w:pPr>
              <w:spacing w:before="67" w:line="240" w:lineRule="auto"/>
              <w:ind w:left="298"/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249" w:type="dxa"/>
            <w:vAlign w:val="center"/>
          </w:tcPr>
          <w:p w14:paraId="3E95A893">
            <w:pPr>
              <w:spacing w:before="67" w:line="240" w:lineRule="auto"/>
              <w:ind w:left="298"/>
              <w:rPr>
                <w:rFonts w:hint="eastAsia" w:ascii="Times New Roman" w:hAnsi="Times New Roman" w:eastAsia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sz w:val="20"/>
                <w:szCs w:val="20"/>
                <w:lang w:val="en-US" w:eastAsia="zh-CN"/>
              </w:rPr>
              <w:t>翟桂玉</w:t>
            </w:r>
          </w:p>
        </w:tc>
        <w:tc>
          <w:tcPr>
            <w:tcW w:w="3310" w:type="dxa"/>
            <w:vAlign w:val="center"/>
          </w:tcPr>
          <w:p w14:paraId="604EA9AB">
            <w:pPr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山东省畜牧总站</w:t>
            </w:r>
          </w:p>
        </w:tc>
        <w:tc>
          <w:tcPr>
            <w:tcW w:w="3313" w:type="dxa"/>
            <w:shd w:val="clear" w:color="auto" w:fill="auto"/>
            <w:vAlign w:val="center"/>
          </w:tcPr>
          <w:p w14:paraId="7CF13870">
            <w:pPr>
              <w:jc w:val="center"/>
              <w:rPr>
                <w:rFonts w:hint="eastAsia" w:eastAsia="宋体"/>
                <w:sz w:val="20"/>
                <w:szCs w:val="20"/>
                <w:lang w:val="en-US" w:eastAsia="en-US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山东省畜牧总站</w:t>
            </w:r>
          </w:p>
        </w:tc>
      </w:tr>
      <w:tr w14:paraId="54708E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660" w:type="dxa"/>
            <w:vAlign w:val="top"/>
          </w:tcPr>
          <w:p w14:paraId="6AD2705B">
            <w:pPr>
              <w:spacing w:before="67" w:line="240" w:lineRule="auto"/>
              <w:ind w:left="298"/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249" w:type="dxa"/>
            <w:vAlign w:val="center"/>
          </w:tcPr>
          <w:p w14:paraId="54E81C77">
            <w:pPr>
              <w:spacing w:before="67" w:line="240" w:lineRule="auto"/>
              <w:ind w:left="29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Times New Roman" w:cs="Times New Roman"/>
                <w:sz w:val="20"/>
                <w:szCs w:val="20"/>
                <w:lang w:val="en-US" w:eastAsia="zh-CN"/>
              </w:rPr>
              <w:t>丁宏标</w:t>
            </w:r>
          </w:p>
        </w:tc>
        <w:tc>
          <w:tcPr>
            <w:tcW w:w="3310" w:type="dxa"/>
            <w:vAlign w:val="center"/>
          </w:tcPr>
          <w:p w14:paraId="54885492">
            <w:pPr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中国农业科学院饲料研究所</w:t>
            </w:r>
          </w:p>
        </w:tc>
        <w:tc>
          <w:tcPr>
            <w:tcW w:w="3313" w:type="dxa"/>
            <w:shd w:val="clear" w:color="auto" w:fill="auto"/>
            <w:vAlign w:val="center"/>
          </w:tcPr>
          <w:p w14:paraId="3EC8B46B">
            <w:pPr>
              <w:jc w:val="center"/>
              <w:rPr>
                <w:rFonts w:hint="eastAsia" w:eastAsia="宋体"/>
                <w:sz w:val="20"/>
                <w:szCs w:val="20"/>
                <w:lang w:val="en-US" w:eastAsia="en-US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中国农业科学院饲料研究所</w:t>
            </w:r>
          </w:p>
        </w:tc>
      </w:tr>
      <w:tr w14:paraId="75A517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660" w:type="dxa"/>
            <w:vAlign w:val="top"/>
          </w:tcPr>
          <w:p w14:paraId="430B2986">
            <w:pPr>
              <w:spacing w:before="67" w:line="240" w:lineRule="auto"/>
              <w:ind w:left="298"/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249" w:type="dxa"/>
            <w:vAlign w:val="center"/>
          </w:tcPr>
          <w:p w14:paraId="7BA61FFE">
            <w:pPr>
              <w:spacing w:before="67" w:line="240" w:lineRule="auto"/>
              <w:ind w:left="29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Times New Roman" w:cs="Times New Roman"/>
                <w:sz w:val="20"/>
                <w:szCs w:val="20"/>
                <w:lang w:val="en-US" w:eastAsia="zh-CN"/>
              </w:rPr>
              <w:t>刘胜利</w:t>
            </w:r>
          </w:p>
        </w:tc>
        <w:tc>
          <w:tcPr>
            <w:tcW w:w="3310" w:type="dxa"/>
            <w:vAlign w:val="center"/>
          </w:tcPr>
          <w:p w14:paraId="412C0107">
            <w:pPr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山东隆科特酶制剂有限公司</w:t>
            </w:r>
          </w:p>
        </w:tc>
        <w:tc>
          <w:tcPr>
            <w:tcW w:w="3313" w:type="dxa"/>
            <w:shd w:val="clear" w:color="auto" w:fill="auto"/>
            <w:vAlign w:val="center"/>
          </w:tcPr>
          <w:p w14:paraId="48EB2AA4">
            <w:pPr>
              <w:jc w:val="center"/>
              <w:rPr>
                <w:rFonts w:hint="eastAsia" w:eastAsia="宋体"/>
                <w:sz w:val="20"/>
                <w:szCs w:val="20"/>
                <w:lang w:val="en-US" w:eastAsia="en-US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山东隆科特酶制剂有限公司</w:t>
            </w:r>
          </w:p>
        </w:tc>
      </w:tr>
      <w:tr w14:paraId="7FB50A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660" w:type="dxa"/>
            <w:vAlign w:val="top"/>
          </w:tcPr>
          <w:p w14:paraId="6031CF2E">
            <w:pPr>
              <w:spacing w:before="67" w:line="240" w:lineRule="auto"/>
              <w:ind w:left="298"/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249" w:type="dxa"/>
            <w:vAlign w:val="center"/>
          </w:tcPr>
          <w:p w14:paraId="0EBA5AD9">
            <w:pPr>
              <w:spacing w:before="67" w:line="240" w:lineRule="auto"/>
              <w:ind w:left="29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Times New Roman" w:cs="Times New Roman"/>
                <w:sz w:val="20"/>
                <w:szCs w:val="20"/>
                <w:lang w:val="en-US" w:eastAsia="zh-CN"/>
              </w:rPr>
              <w:t>纪中良</w:t>
            </w:r>
          </w:p>
        </w:tc>
        <w:tc>
          <w:tcPr>
            <w:tcW w:w="3310" w:type="dxa"/>
            <w:vAlign w:val="center"/>
          </w:tcPr>
          <w:p w14:paraId="5CE84F1E">
            <w:pPr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山东五征集团有限公司</w:t>
            </w:r>
          </w:p>
        </w:tc>
        <w:tc>
          <w:tcPr>
            <w:tcW w:w="3313" w:type="dxa"/>
            <w:shd w:val="clear" w:color="auto" w:fill="auto"/>
            <w:vAlign w:val="center"/>
          </w:tcPr>
          <w:p w14:paraId="0F28B71C">
            <w:pPr>
              <w:jc w:val="center"/>
              <w:rPr>
                <w:rFonts w:hint="eastAsia" w:eastAsia="宋体"/>
                <w:sz w:val="20"/>
                <w:szCs w:val="20"/>
                <w:lang w:val="en-US" w:eastAsia="en-US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山东五征集团有限公司</w:t>
            </w:r>
          </w:p>
        </w:tc>
      </w:tr>
      <w:tr w14:paraId="502DDC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660" w:type="dxa"/>
            <w:shd w:val="clear" w:color="auto" w:fill="auto"/>
            <w:vAlign w:val="top"/>
          </w:tcPr>
          <w:p w14:paraId="0F0D0034">
            <w:pPr>
              <w:spacing w:before="67" w:line="240" w:lineRule="auto"/>
              <w:ind w:left="298" w:leftChars="0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Times New Roman" w:cs="Times New Roman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409F20BD">
            <w:pPr>
              <w:spacing w:before="67" w:line="240" w:lineRule="auto"/>
              <w:ind w:left="298" w:leftChars="0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Times New Roman" w:cs="Times New Roman"/>
                <w:sz w:val="20"/>
                <w:szCs w:val="20"/>
                <w:lang w:val="en-US" w:eastAsia="zh-CN"/>
              </w:rPr>
              <w:t>盛清凯</w:t>
            </w:r>
          </w:p>
        </w:tc>
        <w:tc>
          <w:tcPr>
            <w:tcW w:w="3310" w:type="dxa"/>
            <w:shd w:val="clear" w:color="auto" w:fill="auto"/>
            <w:vAlign w:val="center"/>
          </w:tcPr>
          <w:p w14:paraId="57B5688C">
            <w:pPr>
              <w:jc w:val="center"/>
              <w:rPr>
                <w:rFonts w:hint="eastAsia" w:ascii="Arial" w:hAnsi="Arial" w:eastAsia="宋体" w:cs="Arial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山东省农业科学院畜牧兽医研究所</w:t>
            </w:r>
          </w:p>
        </w:tc>
        <w:tc>
          <w:tcPr>
            <w:tcW w:w="3313" w:type="dxa"/>
            <w:shd w:val="clear" w:color="auto" w:fill="auto"/>
            <w:vAlign w:val="center"/>
          </w:tcPr>
          <w:p w14:paraId="5D504597">
            <w:pPr>
              <w:jc w:val="center"/>
              <w:rPr>
                <w:rFonts w:hint="eastAsia" w:ascii="Arial" w:hAnsi="Arial" w:eastAsia="宋体" w:cs="Arial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山东省农业科学院畜牧兽医研究所</w:t>
            </w:r>
          </w:p>
        </w:tc>
      </w:tr>
      <w:tr w14:paraId="1AC636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660" w:type="dxa"/>
            <w:shd w:val="clear" w:color="auto" w:fill="auto"/>
            <w:vAlign w:val="top"/>
          </w:tcPr>
          <w:p w14:paraId="5F49AE90">
            <w:pPr>
              <w:spacing w:before="67" w:line="240" w:lineRule="auto"/>
              <w:ind w:left="298" w:leftChars="0"/>
              <w:rPr>
                <w:rFonts w:hint="default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Times New Roman" w:cs="Times New Roman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1729D001">
            <w:pPr>
              <w:spacing w:before="67" w:line="240" w:lineRule="auto"/>
              <w:ind w:left="298" w:leftChars="0"/>
              <w:rPr>
                <w:rFonts w:hint="default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Times New Roman" w:cs="Times New Roman"/>
                <w:sz w:val="20"/>
                <w:szCs w:val="20"/>
                <w:lang w:val="en-US" w:eastAsia="zh-CN"/>
              </w:rPr>
              <w:t>张夙夙</w:t>
            </w:r>
          </w:p>
        </w:tc>
        <w:tc>
          <w:tcPr>
            <w:tcW w:w="3310" w:type="dxa"/>
            <w:shd w:val="clear" w:color="auto" w:fill="auto"/>
            <w:vAlign w:val="center"/>
          </w:tcPr>
          <w:p w14:paraId="1EE1A674">
            <w:pPr>
              <w:jc w:val="center"/>
              <w:rPr>
                <w:rFonts w:hint="eastAsia" w:ascii="Arial" w:hAnsi="Arial" w:eastAsia="宋体" w:cs="Arial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山东师范大学</w:t>
            </w:r>
          </w:p>
        </w:tc>
        <w:tc>
          <w:tcPr>
            <w:tcW w:w="3313" w:type="dxa"/>
            <w:shd w:val="clear" w:color="auto" w:fill="auto"/>
            <w:vAlign w:val="center"/>
          </w:tcPr>
          <w:p w14:paraId="605A7062">
            <w:pPr>
              <w:jc w:val="center"/>
              <w:rPr>
                <w:rFonts w:hint="eastAsia" w:ascii="Arial" w:hAnsi="Arial" w:eastAsia="宋体" w:cs="Arial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山东师范大学</w:t>
            </w:r>
          </w:p>
        </w:tc>
      </w:tr>
      <w:tr w14:paraId="5F1E53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660" w:type="dxa"/>
            <w:vAlign w:val="top"/>
          </w:tcPr>
          <w:p w14:paraId="25693DE6">
            <w:pPr>
              <w:spacing w:before="67" w:line="240" w:lineRule="auto"/>
              <w:ind w:left="298"/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249" w:type="dxa"/>
            <w:vAlign w:val="center"/>
          </w:tcPr>
          <w:p w14:paraId="3F81F43D">
            <w:pPr>
              <w:spacing w:before="67" w:line="240" w:lineRule="auto"/>
              <w:ind w:left="29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Times New Roman" w:cs="Times New Roman"/>
                <w:sz w:val="20"/>
                <w:szCs w:val="20"/>
                <w:lang w:val="en-US" w:eastAsia="zh-CN"/>
              </w:rPr>
              <w:t>董桂红</w:t>
            </w:r>
          </w:p>
        </w:tc>
        <w:tc>
          <w:tcPr>
            <w:tcW w:w="3310" w:type="dxa"/>
            <w:vAlign w:val="center"/>
          </w:tcPr>
          <w:p w14:paraId="5EA8CFBD">
            <w:pPr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山东健源生物科技有限公司</w:t>
            </w:r>
          </w:p>
        </w:tc>
        <w:tc>
          <w:tcPr>
            <w:tcW w:w="3313" w:type="dxa"/>
            <w:shd w:val="clear" w:color="auto" w:fill="auto"/>
            <w:vAlign w:val="center"/>
          </w:tcPr>
          <w:p w14:paraId="39160730">
            <w:pPr>
              <w:jc w:val="center"/>
              <w:rPr>
                <w:rFonts w:hint="eastAsia" w:eastAsia="宋体"/>
                <w:sz w:val="20"/>
                <w:szCs w:val="20"/>
                <w:lang w:val="en-US" w:eastAsia="en-US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山东健源生物科技有限公司</w:t>
            </w:r>
          </w:p>
        </w:tc>
      </w:tr>
      <w:tr w14:paraId="150094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660" w:type="dxa"/>
            <w:vAlign w:val="top"/>
          </w:tcPr>
          <w:p w14:paraId="3A4E0129">
            <w:pPr>
              <w:spacing w:before="67" w:line="240" w:lineRule="auto"/>
              <w:ind w:left="298"/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249" w:type="dxa"/>
            <w:vAlign w:val="center"/>
          </w:tcPr>
          <w:p w14:paraId="3606B009">
            <w:pPr>
              <w:spacing w:before="67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Times New Roman" w:cs="Times New Roman"/>
                <w:sz w:val="20"/>
                <w:szCs w:val="20"/>
                <w:lang w:val="en-US" w:eastAsia="zh-CN"/>
              </w:rPr>
              <w:t>王玲</w:t>
            </w:r>
          </w:p>
        </w:tc>
        <w:tc>
          <w:tcPr>
            <w:tcW w:w="3310" w:type="dxa"/>
            <w:vAlign w:val="center"/>
          </w:tcPr>
          <w:p w14:paraId="73622DB7">
            <w:pPr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山东健源生物科技有限公司</w:t>
            </w:r>
          </w:p>
        </w:tc>
        <w:tc>
          <w:tcPr>
            <w:tcW w:w="3313" w:type="dxa"/>
            <w:shd w:val="clear" w:color="auto" w:fill="auto"/>
            <w:vAlign w:val="center"/>
          </w:tcPr>
          <w:p w14:paraId="4220386D">
            <w:pPr>
              <w:jc w:val="center"/>
              <w:rPr>
                <w:rFonts w:hint="eastAsia" w:eastAsia="宋体"/>
                <w:sz w:val="20"/>
                <w:szCs w:val="20"/>
                <w:lang w:val="en-US" w:eastAsia="en-US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山东健源生物科技有限公司</w:t>
            </w:r>
          </w:p>
        </w:tc>
      </w:tr>
      <w:tr w14:paraId="409B48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660" w:type="dxa"/>
            <w:vAlign w:val="top"/>
          </w:tcPr>
          <w:p w14:paraId="50C14B1B">
            <w:pPr>
              <w:spacing w:before="67" w:line="240" w:lineRule="auto"/>
              <w:ind w:left="298"/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249" w:type="dxa"/>
            <w:vAlign w:val="center"/>
          </w:tcPr>
          <w:p w14:paraId="7F18B4FD">
            <w:pPr>
              <w:spacing w:before="67" w:line="240" w:lineRule="auto"/>
              <w:jc w:val="center"/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sz w:val="20"/>
                <w:szCs w:val="20"/>
                <w:lang w:val="en-US" w:eastAsia="zh-CN"/>
              </w:rPr>
              <w:t>邢烛</w:t>
            </w:r>
          </w:p>
        </w:tc>
        <w:tc>
          <w:tcPr>
            <w:tcW w:w="3310" w:type="dxa"/>
            <w:shd w:val="clear" w:color="auto" w:fill="auto"/>
            <w:vAlign w:val="center"/>
          </w:tcPr>
          <w:p w14:paraId="22365C14">
            <w:pPr>
              <w:jc w:val="center"/>
              <w:rPr>
                <w:rFonts w:hint="eastAsia" w:ascii="Arial" w:hAnsi="Arial" w:eastAsia="宋体" w:cs="Arial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山东健源生物科技有限公司</w:t>
            </w:r>
          </w:p>
        </w:tc>
        <w:tc>
          <w:tcPr>
            <w:tcW w:w="3313" w:type="dxa"/>
            <w:shd w:val="clear" w:color="auto" w:fill="auto"/>
            <w:vAlign w:val="center"/>
          </w:tcPr>
          <w:p w14:paraId="36F67C70">
            <w:pPr>
              <w:jc w:val="center"/>
              <w:rPr>
                <w:rFonts w:hint="eastAsia" w:ascii="Arial" w:hAnsi="Arial" w:eastAsia="宋体" w:cs="Arial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山东健源生物科技有限公司</w:t>
            </w:r>
          </w:p>
        </w:tc>
      </w:tr>
      <w:tr w14:paraId="5F9878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8532" w:type="dxa"/>
            <w:gridSpan w:val="4"/>
            <w:vAlign w:val="top"/>
          </w:tcPr>
          <w:p w14:paraId="10B9FBC9">
            <w:pPr>
              <w:pStyle w:val="11"/>
              <w:spacing w:before="146" w:line="240" w:lineRule="auto"/>
              <w:ind w:left="3643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主要完成单位</w:t>
            </w:r>
          </w:p>
        </w:tc>
      </w:tr>
      <w:tr w14:paraId="15E865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660" w:type="dxa"/>
            <w:vAlign w:val="top"/>
          </w:tcPr>
          <w:p w14:paraId="7AC70278">
            <w:pPr>
              <w:pStyle w:val="11"/>
              <w:spacing w:before="35" w:line="240" w:lineRule="auto"/>
              <w:ind w:left="12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排名</w:t>
            </w:r>
          </w:p>
        </w:tc>
        <w:tc>
          <w:tcPr>
            <w:tcW w:w="7872" w:type="dxa"/>
            <w:gridSpan w:val="3"/>
            <w:vAlign w:val="top"/>
          </w:tcPr>
          <w:p w14:paraId="48B7D098">
            <w:pPr>
              <w:pStyle w:val="11"/>
              <w:spacing w:before="35" w:line="240" w:lineRule="auto"/>
              <w:ind w:left="352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单位名称</w:t>
            </w:r>
          </w:p>
        </w:tc>
      </w:tr>
      <w:tr w14:paraId="35F5B8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660" w:type="dxa"/>
            <w:vAlign w:val="top"/>
          </w:tcPr>
          <w:p w14:paraId="32FED463">
            <w:pPr>
              <w:spacing w:before="70" w:line="240" w:lineRule="auto"/>
              <w:ind w:left="29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7872" w:type="dxa"/>
            <w:gridSpan w:val="3"/>
            <w:vAlign w:val="top"/>
          </w:tcPr>
          <w:p w14:paraId="77CF4984">
            <w:pPr>
              <w:pStyle w:val="11"/>
              <w:spacing w:before="35" w:line="240" w:lineRule="auto"/>
              <w:jc w:val="center"/>
              <w:rPr>
                <w:rFonts w:hint="default" w:ascii="宋体" w:hAnsi="宋体" w:eastAsia="宋体" w:cs="宋体"/>
                <w:spacing w:val="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6"/>
                <w:sz w:val="20"/>
                <w:szCs w:val="20"/>
                <w:lang w:val="en-US" w:eastAsia="zh-CN"/>
              </w:rPr>
              <w:t>山东健源生物科技有限公司</w:t>
            </w:r>
          </w:p>
        </w:tc>
      </w:tr>
      <w:tr w14:paraId="5BC1FC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660" w:type="dxa"/>
            <w:vAlign w:val="top"/>
          </w:tcPr>
          <w:p w14:paraId="4E4B2617">
            <w:pPr>
              <w:spacing w:before="88" w:line="240" w:lineRule="auto"/>
              <w:ind w:left="278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7872" w:type="dxa"/>
            <w:gridSpan w:val="3"/>
            <w:vAlign w:val="top"/>
          </w:tcPr>
          <w:p w14:paraId="6E8B0AD1">
            <w:pPr>
              <w:pStyle w:val="11"/>
              <w:spacing w:before="35" w:line="240" w:lineRule="auto"/>
              <w:jc w:val="center"/>
              <w:rPr>
                <w:rFonts w:ascii="宋体" w:hAnsi="宋体" w:eastAsia="宋体" w:cs="宋体"/>
                <w:spacing w:val="6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6"/>
                <w:sz w:val="20"/>
                <w:szCs w:val="20"/>
              </w:rPr>
              <w:t>山东省畜牧总站</w:t>
            </w:r>
          </w:p>
        </w:tc>
      </w:tr>
      <w:tr w14:paraId="7BD457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660" w:type="dxa"/>
            <w:vAlign w:val="top"/>
          </w:tcPr>
          <w:p w14:paraId="24A0B928">
            <w:pPr>
              <w:spacing w:before="88" w:line="240" w:lineRule="auto"/>
              <w:ind w:left="278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7872" w:type="dxa"/>
            <w:gridSpan w:val="3"/>
            <w:vAlign w:val="top"/>
          </w:tcPr>
          <w:p w14:paraId="13AC1F65">
            <w:pPr>
              <w:pStyle w:val="11"/>
              <w:spacing w:before="35" w:line="240" w:lineRule="auto"/>
              <w:jc w:val="center"/>
              <w:rPr>
                <w:rFonts w:ascii="宋体" w:hAnsi="宋体" w:eastAsia="宋体" w:cs="宋体"/>
                <w:spacing w:val="6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6"/>
                <w:sz w:val="20"/>
                <w:szCs w:val="20"/>
              </w:rPr>
              <w:t>中国农业科学院饲料研究所</w:t>
            </w:r>
          </w:p>
        </w:tc>
      </w:tr>
      <w:tr w14:paraId="284536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660" w:type="dxa"/>
            <w:vAlign w:val="top"/>
          </w:tcPr>
          <w:p w14:paraId="62903772">
            <w:pPr>
              <w:spacing w:before="88" w:line="240" w:lineRule="auto"/>
              <w:ind w:left="278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7872" w:type="dxa"/>
            <w:gridSpan w:val="3"/>
            <w:vAlign w:val="top"/>
          </w:tcPr>
          <w:p w14:paraId="5374E341">
            <w:pPr>
              <w:pStyle w:val="11"/>
              <w:spacing w:before="35" w:line="240" w:lineRule="auto"/>
              <w:jc w:val="center"/>
              <w:rPr>
                <w:rFonts w:ascii="宋体" w:hAnsi="宋体" w:eastAsia="宋体" w:cs="宋体"/>
                <w:spacing w:val="6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6"/>
                <w:sz w:val="20"/>
                <w:szCs w:val="20"/>
              </w:rPr>
              <w:t>山东隆科特酶制剂有限公司</w:t>
            </w:r>
          </w:p>
        </w:tc>
      </w:tr>
      <w:tr w14:paraId="18EC7B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660" w:type="dxa"/>
            <w:vAlign w:val="top"/>
          </w:tcPr>
          <w:p w14:paraId="36E7CD30">
            <w:pPr>
              <w:spacing w:before="88" w:line="240" w:lineRule="auto"/>
              <w:ind w:left="278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872" w:type="dxa"/>
            <w:gridSpan w:val="3"/>
            <w:vAlign w:val="top"/>
          </w:tcPr>
          <w:p w14:paraId="5DD4BA53">
            <w:pPr>
              <w:pStyle w:val="11"/>
              <w:spacing w:before="35" w:line="240" w:lineRule="auto"/>
              <w:jc w:val="center"/>
              <w:rPr>
                <w:rFonts w:ascii="宋体" w:hAnsi="宋体" w:eastAsia="宋体" w:cs="宋体"/>
                <w:spacing w:val="6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6"/>
                <w:sz w:val="20"/>
                <w:szCs w:val="20"/>
              </w:rPr>
              <w:t>山东五征集团有限公司</w:t>
            </w:r>
          </w:p>
        </w:tc>
      </w:tr>
      <w:tr w14:paraId="03B897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660" w:type="dxa"/>
            <w:vAlign w:val="top"/>
          </w:tcPr>
          <w:p w14:paraId="40A2A873">
            <w:pPr>
              <w:spacing w:before="88" w:line="240" w:lineRule="auto"/>
              <w:ind w:left="278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7872" w:type="dxa"/>
            <w:gridSpan w:val="3"/>
            <w:vAlign w:val="top"/>
          </w:tcPr>
          <w:p w14:paraId="1EF7D45A">
            <w:pPr>
              <w:pStyle w:val="11"/>
              <w:spacing w:before="35" w:line="240" w:lineRule="auto"/>
              <w:jc w:val="center"/>
              <w:rPr>
                <w:rFonts w:hint="default" w:ascii="宋体" w:hAnsi="宋体" w:eastAsia="宋体" w:cs="宋体"/>
                <w:spacing w:val="6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spacing w:val="6"/>
                <w:sz w:val="20"/>
                <w:szCs w:val="20"/>
                <w:lang w:val="en-US" w:eastAsia="zh-CN"/>
              </w:rPr>
              <w:t>山东省农业科学院畜牧兽医研究所</w:t>
            </w:r>
          </w:p>
        </w:tc>
      </w:tr>
      <w:tr w14:paraId="03AF69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660" w:type="dxa"/>
            <w:vAlign w:val="top"/>
          </w:tcPr>
          <w:p w14:paraId="1C9DFA24">
            <w:pPr>
              <w:spacing w:before="88" w:line="240" w:lineRule="auto"/>
              <w:ind w:left="278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7872" w:type="dxa"/>
            <w:gridSpan w:val="3"/>
            <w:vAlign w:val="top"/>
          </w:tcPr>
          <w:p w14:paraId="6D5F00E0">
            <w:pPr>
              <w:pStyle w:val="11"/>
              <w:spacing w:before="35" w:line="240" w:lineRule="auto"/>
              <w:jc w:val="center"/>
              <w:rPr>
                <w:rFonts w:ascii="宋体" w:hAnsi="宋体" w:eastAsia="宋体" w:cs="宋体"/>
                <w:spacing w:val="6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6"/>
                <w:sz w:val="20"/>
                <w:szCs w:val="20"/>
                <w:lang w:val="en-US" w:eastAsia="zh-CN"/>
              </w:rPr>
              <w:t>山东师范大学</w:t>
            </w:r>
          </w:p>
        </w:tc>
      </w:tr>
    </w:tbl>
    <w:p w14:paraId="535AC508">
      <w:pPr>
        <w:spacing w:line="240" w:lineRule="auto"/>
        <w:rPr>
          <w:rFonts w:ascii="Arial"/>
          <w:sz w:val="21"/>
        </w:rPr>
      </w:pPr>
    </w:p>
    <w:sectPr>
      <w:footerReference r:id="rId5" w:type="default"/>
      <w:pgSz w:w="11906" w:h="16839"/>
      <w:pgMar w:top="1174" w:right="1684" w:bottom="1157" w:left="1684" w:header="0" w:footer="1196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D483CF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373B209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373B209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628DF9"/>
    <w:multiLevelType w:val="singleLevel"/>
    <w:tmpl w:val="A7628DF9"/>
    <w:lvl w:ilvl="0" w:tentative="0">
      <w:start w:val="1"/>
      <w:numFmt w:val="decimal"/>
      <w:suff w:val="space"/>
      <w:lvlText w:val="%1."/>
      <w:lvlJc w:val="left"/>
      <w:rPr>
        <w:rFonts w:hint="default"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59B24B4"/>
    <w:rsid w:val="0CCB047F"/>
    <w:rsid w:val="0FB72456"/>
    <w:rsid w:val="10973B61"/>
    <w:rsid w:val="12B40728"/>
    <w:rsid w:val="160C3C6F"/>
    <w:rsid w:val="194A5C14"/>
    <w:rsid w:val="1B926E6E"/>
    <w:rsid w:val="1BD528D3"/>
    <w:rsid w:val="21C84A65"/>
    <w:rsid w:val="23C6058D"/>
    <w:rsid w:val="284B2378"/>
    <w:rsid w:val="2A422128"/>
    <w:rsid w:val="2E7E55DE"/>
    <w:rsid w:val="2ECB6A58"/>
    <w:rsid w:val="2F0B1C32"/>
    <w:rsid w:val="340A6274"/>
    <w:rsid w:val="381902C4"/>
    <w:rsid w:val="3BE04BEB"/>
    <w:rsid w:val="4043667C"/>
    <w:rsid w:val="413A52AE"/>
    <w:rsid w:val="43A7763B"/>
    <w:rsid w:val="47C14A44"/>
    <w:rsid w:val="49033566"/>
    <w:rsid w:val="4C7D71E6"/>
    <w:rsid w:val="53BF59F0"/>
    <w:rsid w:val="56135281"/>
    <w:rsid w:val="61F03972"/>
    <w:rsid w:val="65870787"/>
    <w:rsid w:val="70904746"/>
    <w:rsid w:val="78D06865"/>
    <w:rsid w:val="7CA979E5"/>
    <w:rsid w:val="7E072C00"/>
    <w:rsid w:val="7EAE384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Plain Text"/>
    <w:basedOn w:val="1"/>
    <w:qFormat/>
    <w:uiPriority w:val="0"/>
    <w:pPr>
      <w:spacing w:line="360" w:lineRule="auto"/>
      <w:ind w:firstLine="480" w:firstLineChars="200"/>
    </w:pPr>
    <w:rPr>
      <w:rFonts w:ascii="仿宋_GB2312"/>
      <w:sz w:val="2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table" w:styleId="8">
    <w:name w:val="Table Grid"/>
    <w:basedOn w:val="7"/>
    <w:qFormat/>
    <w:uiPriority w:val="59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78c0a2d4-4eec-469a-86aa-b71e57eaae81</errorID>
      <errorWord>风流人流</errorWord>
      <group>L1_Knowledge</group>
      <groupName>知识性问题</groupName>
      <ability>L2_Knowledge</ability>
      <abilityName>其他知识</abilityName>
      <candidateList>
        <item>风流人物</item>
      </candidateList>
      <explain/>
      <paraID>7B7360DA</paraID>
      <start>76</start>
      <end>80</end>
      <status>unmodified</status>
      <modifiedWord/>
      <trackRevisions>false</trackRevisions>
    </reviewItem>
    <reviewItem>
      <errorID>ef8dedac-bf17-40d9-98cb-d634a8141982</errorID>
      <errorWord>业</errorWord>
      <group>L1_Word</group>
      <groupName>字词问题</groupName>
      <ability>L2_Typo</ability>
      <abilityName>字词错误</abilityName>
      <candidateList>
        <item>业在</item>
      </candidateList>
      <explain/>
      <paraID>7B7360DA</paraID>
      <start>185</start>
      <end>186</end>
      <status>unmodified</status>
      <modifiedWord/>
      <trackRevisions>false</trackRevisions>
    </reviewItem>
    <reviewItem>
      <errorID>c996030c-8114-41b6-a4ab-36416c99be6f</errorID>
      <errorWord>国家发改委</errorWord>
      <group>L1_Knowledge</group>
      <groupName>知识性问题</groupName>
      <ability>L2_Knowledge</ability>
      <abilityName>其他知识</abilityName>
      <candidateList>
        <item>国家发展改革委</item>
      </candidateList>
      <explain/>
      <paraID> C410069</paraID>
      <start>7</start>
      <end>12</end>
      <status>unmodified</status>
      <modifiedWord/>
      <trackRevisions>false</trackRevisions>
    </reviewItem>
    <reviewItem>
      <errorID>523df4b4-54c7-4b0c-b147-b171aaedabee</errorID>
      <errorWord>亟需</errorWord>
      <group>L1_Word</group>
      <groupName>字词问题</groupName>
      <ability>L2_Typo</ability>
      <abilityName>字词错误</abilityName>
      <candidateList>
        <item>亟须</item>
      </candidateList>
      <explain/>
      <paraID>101D9B2B</paraID>
      <start>31</start>
      <end>33</end>
      <status>unmodified</status>
      <modifiedWord/>
      <trackRevisions>false</trackRevisions>
    </reviewItem>
    <reviewItem>
      <errorID>35efa540-62d9-487d-9f20-f3a37ccb8fb1</errorID>
      <errorWord>风流人流</errorWord>
      <group>L1_Knowledge</group>
      <groupName>知识性问题</groupName>
      <ability>L2_Knowledge</ability>
      <abilityName>其他知识</abilityName>
      <candidateList>
        <item>风流人物</item>
      </candidateList>
      <explain/>
      <paraID>101D9B2B</paraID>
      <start>123</start>
      <end>127</end>
      <status>unmodified</status>
      <modifiedWord/>
      <trackRevisions>false</trackRevisions>
    </reviewItem>
    <reviewItem>
      <errorID>a72e9f46-549e-4b82-9611-2db6cc21e44d</errorID>
      <errorWord>风流人流</errorWord>
      <group>L1_Knowledge</group>
      <groupName>知识性问题</groupName>
      <ability>L2_Knowledge</ability>
      <abilityName>其他知识</abilityName>
      <candidateList>
        <item>风流人物</item>
      </candidateList>
      <explain/>
      <paraID>  FA16C8</paraID>
      <start>14</start>
      <end>18</end>
      <status>unmodified</status>
      <modifiedWord/>
      <trackRevisions>false</trackRevisions>
    </reviewItem>
    <reviewItem>
      <errorID>9098a82b-f942-42af-a60d-30583c6c3507</errorID>
      <errorWord>风流人流</errorWord>
      <group>L1_Knowledge</group>
      <groupName>知识性问题</groupName>
      <ability>L2_Knowledge</ability>
      <abilityName>其他知识</abilityName>
      <candidateList>
        <item>风流人物</item>
      </candidateList>
      <explain/>
      <paraID>727D0E6E</paraID>
      <start>8</start>
      <end>12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1e87e12-db15-472b-b7b6-271ff6d3f3f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2540</Words>
  <Characters>2811</Characters>
  <TotalTime>1</TotalTime>
  <ScaleCrop>false</ScaleCrop>
  <LinksUpToDate>false</LinksUpToDate>
  <CharactersWithSpaces>2832</CharactersWithSpaces>
  <Application>WPS Office_12.1.0.26391_F1E327BC-269C-435d-A152-05C5408002CA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2025-04-01T11:14:00Z</dcterms:created>
  <dc:creator>LIUFANGFANG</dc:creator>
  <cp:lastModifiedBy>董桂红</cp:lastModifiedBy>
  <dcterms:modified xsi:type="dcterms:W3CDTF">2026-07-20T09:28:21Z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2026-07-16T15:08:53Z</vt:filetime>
  </property>
  <property fmtid="{D5CDD505-2E9C-101B-9397-08002B2CF9AE}" pid="4" name="KSOTemplateDocerSaveRecord">
    <vt:lpwstr>eyJoZGlkIjoiODNkNmJhMzE4NDYzOTljNzNmMzI1NDliMWFmNDE5ZTAiLCJ1c2VySWQiOiIzNjg0ODYwMTUifQ==</vt:lpwstr>
  </property>
  <property fmtid="{D5CDD505-2E9C-101B-9397-08002B2CF9AE}" pid="5" name="KSOProductBuildVer">
    <vt:lpwstr>2052-12.1.0.26391</vt:lpwstr>
  </property>
  <property fmtid="{D5CDD505-2E9C-101B-9397-08002B2CF9AE}" pid="6" name="ICV">
    <vt:lpwstr>34EEA7FF10144711B3598EF876BE8BF3_12</vt:lpwstr>
  </property>
</Properties>
</file>