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6B06C">
      <w:pPr>
        <w:spacing w:before="87" w:line="240" w:lineRule="auto"/>
        <w:ind w:left="1112"/>
        <w:outlineLvl w:val="0"/>
        <w:rPr>
          <w:rFonts w:ascii="宋体" w:hAnsi="宋体" w:eastAsia="宋体" w:cs="宋体"/>
          <w:sz w:val="43"/>
          <w:szCs w:val="43"/>
        </w:rPr>
      </w:pPr>
      <w:r>
        <w:rPr>
          <w:rFonts w:ascii="宋体" w:hAnsi="宋体" w:eastAsia="宋体" w:cs="宋体"/>
          <w:b/>
          <w:bCs/>
          <w:spacing w:val="3"/>
          <w:sz w:val="43"/>
          <w:szCs w:val="43"/>
        </w:rPr>
        <w:t>山东省科学技术进步奖提名公示</w:t>
      </w:r>
    </w:p>
    <w:p w14:paraId="0DF01CA5">
      <w:pPr>
        <w:spacing w:line="240" w:lineRule="auto"/>
        <w:rPr>
          <w:rFonts w:ascii="Arial"/>
          <w:sz w:val="21"/>
        </w:rPr>
      </w:pPr>
    </w:p>
    <w:p w14:paraId="6A35C8CF">
      <w:pPr>
        <w:keepNext w:val="0"/>
        <w:keepLines w:val="0"/>
        <w:pageBreakBefore w:val="0"/>
        <w:widowControl/>
        <w:kinsoku w:val="0"/>
        <w:wordWrap/>
        <w:overflowPunct/>
        <w:topLinePunct w:val="0"/>
        <w:autoSpaceDE w:val="0"/>
        <w:autoSpaceDN w:val="0"/>
        <w:bidi w:val="0"/>
        <w:adjustRightInd w:val="0"/>
        <w:snapToGrid w:val="0"/>
        <w:spacing w:before="101" w:line="440" w:lineRule="exact"/>
        <w:ind w:left="667"/>
        <w:textAlignment w:val="baseline"/>
        <w:outlineLvl w:val="1"/>
        <w:rPr>
          <w:rFonts w:ascii="黑体" w:hAnsi="黑体" w:eastAsia="黑体" w:cs="黑体"/>
          <w:sz w:val="32"/>
          <w:szCs w:val="32"/>
        </w:rPr>
      </w:pPr>
      <w:r>
        <w:rPr>
          <w:rFonts w:ascii="黑体" w:hAnsi="黑体" w:eastAsia="黑体" w:cs="黑体"/>
          <w:spacing w:val="7"/>
          <w:sz w:val="32"/>
          <w:szCs w:val="32"/>
        </w:rPr>
        <w:t>一、项目名称</w:t>
      </w:r>
    </w:p>
    <w:p w14:paraId="45DFC9E0">
      <w:pPr>
        <w:keepNext w:val="0"/>
        <w:keepLines w:val="0"/>
        <w:pageBreakBefore w:val="0"/>
        <w:widowControl/>
        <w:kinsoku w:val="0"/>
        <w:wordWrap/>
        <w:overflowPunct/>
        <w:topLinePunct w:val="0"/>
        <w:autoSpaceDE w:val="0"/>
        <w:autoSpaceDN w:val="0"/>
        <w:bidi w:val="0"/>
        <w:adjustRightInd w:val="0"/>
        <w:snapToGrid w:val="0"/>
        <w:spacing w:before="188" w:line="440" w:lineRule="exact"/>
        <w:ind w:left="667"/>
        <w:textAlignment w:val="baseline"/>
        <w:outlineLvl w:val="1"/>
        <w:rPr>
          <w:rFonts w:hint="eastAsia" w:ascii="仿宋" w:hAnsi="仿宋" w:eastAsia="仿宋" w:cs="仿宋"/>
          <w:snapToGrid w:val="0"/>
          <w:color w:val="000000"/>
          <w:spacing w:val="8"/>
          <w:kern w:val="0"/>
          <w:sz w:val="32"/>
          <w:szCs w:val="32"/>
          <w:lang w:val="en-US" w:eastAsia="en-US" w:bidi="ar-SA"/>
        </w:rPr>
      </w:pPr>
      <w:r>
        <w:rPr>
          <w:rFonts w:hint="eastAsia" w:ascii="仿宋" w:hAnsi="仿宋" w:eastAsia="仿宋" w:cs="仿宋"/>
          <w:snapToGrid w:val="0"/>
          <w:color w:val="000000"/>
          <w:spacing w:val="8"/>
          <w:kern w:val="0"/>
          <w:sz w:val="32"/>
          <w:szCs w:val="32"/>
          <w:lang w:val="en-US" w:eastAsia="en-US" w:bidi="ar-SA"/>
        </w:rPr>
        <w:t>煤矿智能通风系统关键技术研发及应用</w:t>
      </w:r>
    </w:p>
    <w:p w14:paraId="1B6855F5">
      <w:pPr>
        <w:keepNext w:val="0"/>
        <w:keepLines w:val="0"/>
        <w:pageBreakBefore w:val="0"/>
        <w:widowControl/>
        <w:kinsoku w:val="0"/>
        <w:wordWrap/>
        <w:overflowPunct/>
        <w:topLinePunct w:val="0"/>
        <w:autoSpaceDE w:val="0"/>
        <w:autoSpaceDN w:val="0"/>
        <w:bidi w:val="0"/>
        <w:adjustRightInd w:val="0"/>
        <w:snapToGrid w:val="0"/>
        <w:spacing w:before="188" w:line="440" w:lineRule="exact"/>
        <w:ind w:left="667"/>
        <w:textAlignment w:val="baseline"/>
        <w:outlineLvl w:val="1"/>
        <w:rPr>
          <w:rFonts w:ascii="黑体" w:hAnsi="黑体" w:eastAsia="黑体" w:cs="黑体"/>
          <w:sz w:val="32"/>
          <w:szCs w:val="32"/>
        </w:rPr>
      </w:pPr>
      <w:r>
        <w:rPr>
          <w:rFonts w:ascii="黑体" w:hAnsi="黑体" w:eastAsia="黑体" w:cs="黑体"/>
          <w:spacing w:val="8"/>
          <w:sz w:val="32"/>
          <w:szCs w:val="32"/>
        </w:rPr>
        <w:t>二、提名者及提名意见</w:t>
      </w:r>
    </w:p>
    <w:p w14:paraId="7C3762D7">
      <w:pPr>
        <w:pStyle w:val="2"/>
        <w:keepNext w:val="0"/>
        <w:keepLines w:val="0"/>
        <w:pageBreakBefore w:val="0"/>
        <w:widowControl/>
        <w:kinsoku w:val="0"/>
        <w:wordWrap/>
        <w:overflowPunct/>
        <w:topLinePunct w:val="0"/>
        <w:autoSpaceDE w:val="0"/>
        <w:autoSpaceDN w:val="0"/>
        <w:bidi w:val="0"/>
        <w:adjustRightInd w:val="0"/>
        <w:snapToGrid w:val="0"/>
        <w:spacing w:before="184" w:line="440" w:lineRule="exact"/>
        <w:ind w:left="659"/>
        <w:textAlignment w:val="baseline"/>
        <w:rPr>
          <w:sz w:val="32"/>
          <w:szCs w:val="32"/>
        </w:rPr>
      </w:pPr>
      <w:r>
        <w:rPr>
          <w:b/>
          <w:bCs/>
          <w:spacing w:val="8"/>
          <w:sz w:val="32"/>
          <w:szCs w:val="32"/>
        </w:rPr>
        <w:t>提名者：</w:t>
      </w:r>
      <w:r>
        <w:rPr>
          <w:spacing w:val="8"/>
          <w:sz w:val="32"/>
          <w:szCs w:val="32"/>
        </w:rPr>
        <w:t>泰安市科学技术局</w:t>
      </w:r>
    </w:p>
    <w:p w14:paraId="75CB983C">
      <w:pPr>
        <w:pStyle w:val="2"/>
        <w:keepNext w:val="0"/>
        <w:keepLines w:val="0"/>
        <w:pageBreakBefore w:val="0"/>
        <w:widowControl/>
        <w:kinsoku w:val="0"/>
        <w:wordWrap/>
        <w:overflowPunct/>
        <w:topLinePunct w:val="0"/>
        <w:autoSpaceDE w:val="0"/>
        <w:autoSpaceDN w:val="0"/>
        <w:bidi w:val="0"/>
        <w:adjustRightInd w:val="0"/>
        <w:snapToGrid w:val="0"/>
        <w:spacing w:before="185" w:line="440" w:lineRule="exact"/>
        <w:ind w:left="659"/>
        <w:textAlignment w:val="baseline"/>
        <w:rPr>
          <w:sz w:val="32"/>
          <w:szCs w:val="32"/>
        </w:rPr>
      </w:pPr>
      <w:r>
        <w:rPr>
          <w:b/>
          <w:bCs/>
          <w:spacing w:val="3"/>
          <w:sz w:val="32"/>
          <w:szCs w:val="32"/>
        </w:rPr>
        <w:t>提名意见：</w:t>
      </w:r>
    </w:p>
    <w:p w14:paraId="008D5268">
      <w:pPr>
        <w:keepNext w:val="0"/>
        <w:keepLines w:val="0"/>
        <w:pageBreakBefore w:val="0"/>
        <w:widowControl/>
        <w:kinsoku w:val="0"/>
        <w:wordWrap/>
        <w:overflowPunct/>
        <w:topLinePunct w:val="0"/>
        <w:autoSpaceDE w:val="0"/>
        <w:autoSpaceDN w:val="0"/>
        <w:bidi w:val="0"/>
        <w:adjustRightInd w:val="0"/>
        <w:snapToGrid w:val="0"/>
        <w:spacing w:before="188" w:line="440" w:lineRule="exact"/>
        <w:ind w:left="667" w:firstLine="672" w:firstLineChars="200"/>
        <w:textAlignment w:val="baseline"/>
        <w:outlineLvl w:val="1"/>
        <w:rPr>
          <w:rFonts w:hint="eastAsia" w:ascii="仿宋" w:hAnsi="仿宋" w:eastAsia="仿宋" w:cs="仿宋"/>
          <w:snapToGrid w:val="0"/>
          <w:color w:val="000000"/>
          <w:spacing w:val="8"/>
          <w:kern w:val="0"/>
          <w:sz w:val="32"/>
          <w:szCs w:val="32"/>
          <w:lang w:val="en-US" w:eastAsia="zh-CN" w:bidi="ar-SA"/>
        </w:rPr>
      </w:pPr>
      <w:r>
        <w:rPr>
          <w:rFonts w:hint="eastAsia" w:ascii="仿宋" w:hAnsi="仿宋" w:eastAsia="仿宋" w:cs="仿宋"/>
          <w:snapToGrid w:val="0"/>
          <w:color w:val="000000"/>
          <w:spacing w:val="8"/>
          <w:kern w:val="0"/>
          <w:sz w:val="32"/>
          <w:szCs w:val="32"/>
          <w:lang w:val="en-US" w:eastAsia="zh-CN" w:bidi="ar-SA"/>
        </w:rPr>
        <w:t>山东蓝光软件有限公司、兖矿能源集团股份有限公司、山东科技大学、陕西德源府谷能源有限公司、中国大唐集团能源投资有限责任公司、贵州豫能投资有限公司、中煤陕西榆林能源化工有限公司共同完成的“煤矿智能通风系统关键技术研发及应用”，经过持续攻关攻克了通风状态动态识别、全局精确测风的传感器优化布置、需风量超前预测、风机-风网联合优调优控、灾变风流人流协同管控、通风系统数字孪生关键技术，实现了通风系统从数据采集到动态调控的全过程自动化和智能化运行，推动了通风系统的少人化、无人化发展，助力煤矿安全管理从“被动应对”向“主动防控”转型升级。大幅度提高了矿山企业灾变时期的反应能力、减少人员伤亡和大型事故的发生。</w:t>
      </w:r>
    </w:p>
    <w:p w14:paraId="599225DC">
      <w:pPr>
        <w:keepNext w:val="0"/>
        <w:keepLines w:val="0"/>
        <w:pageBreakBefore w:val="0"/>
        <w:widowControl/>
        <w:kinsoku w:val="0"/>
        <w:wordWrap/>
        <w:overflowPunct/>
        <w:topLinePunct w:val="0"/>
        <w:autoSpaceDE w:val="0"/>
        <w:autoSpaceDN w:val="0"/>
        <w:bidi w:val="0"/>
        <w:adjustRightInd w:val="0"/>
        <w:snapToGrid w:val="0"/>
        <w:spacing w:before="188" w:line="440" w:lineRule="exact"/>
        <w:ind w:left="667" w:firstLine="672" w:firstLineChars="200"/>
        <w:textAlignment w:val="baseline"/>
        <w:outlineLvl w:val="1"/>
        <w:rPr>
          <w:rFonts w:hint="eastAsia" w:ascii="黑体" w:hAnsi="黑体" w:eastAsia="黑体" w:cs="黑体"/>
          <w:spacing w:val="8"/>
          <w:sz w:val="32"/>
          <w:szCs w:val="32"/>
          <w:lang w:val="en-US" w:eastAsia="zh-CN"/>
        </w:rPr>
      </w:pPr>
      <w:r>
        <w:rPr>
          <w:rFonts w:hint="eastAsia" w:ascii="仿宋" w:hAnsi="仿宋" w:eastAsia="仿宋" w:cs="仿宋"/>
          <w:snapToGrid w:val="0"/>
          <w:color w:val="000000"/>
          <w:spacing w:val="8"/>
          <w:kern w:val="0"/>
          <w:sz w:val="32"/>
          <w:szCs w:val="32"/>
          <w:lang w:val="en-US" w:eastAsia="zh-CN" w:bidi="ar-SA"/>
        </w:rPr>
        <w:t>项目成果具有重要创新，具有很强的系统性和实用性，总体达到了国际领先水平，发布国家标准1项、团体标准3项、授权发明专利18项、实用新型3项、软件著作权9项、信创产品3项、发表论文12篇，出版论著1部，获行业一等奖2项</w:t>
      </w:r>
      <w:r>
        <w:rPr>
          <w:rFonts w:hint="eastAsia" w:ascii="黑体" w:hAnsi="黑体" w:eastAsia="黑体" w:cs="黑体"/>
          <w:spacing w:val="8"/>
          <w:sz w:val="32"/>
          <w:szCs w:val="32"/>
          <w:lang w:val="en-US" w:eastAsia="zh-CN"/>
        </w:rPr>
        <w:t>。</w:t>
      </w:r>
    </w:p>
    <w:p w14:paraId="24378733">
      <w:pPr>
        <w:keepNext w:val="0"/>
        <w:keepLines w:val="0"/>
        <w:pageBreakBefore w:val="0"/>
        <w:widowControl/>
        <w:kinsoku w:val="0"/>
        <w:wordWrap/>
        <w:overflowPunct/>
        <w:topLinePunct w:val="0"/>
        <w:autoSpaceDE w:val="0"/>
        <w:autoSpaceDN w:val="0"/>
        <w:bidi w:val="0"/>
        <w:adjustRightInd w:val="0"/>
        <w:snapToGrid w:val="0"/>
        <w:spacing w:before="188" w:line="440" w:lineRule="exact"/>
        <w:ind w:left="667" w:firstLine="672" w:firstLineChars="200"/>
        <w:textAlignment w:val="baseline"/>
        <w:outlineLvl w:val="1"/>
        <w:rPr>
          <w:rFonts w:hint="eastAsia" w:ascii="仿宋" w:hAnsi="仿宋" w:eastAsia="仿宋" w:cs="仿宋"/>
          <w:snapToGrid w:val="0"/>
          <w:color w:val="000000"/>
          <w:spacing w:val="8"/>
          <w:kern w:val="0"/>
          <w:sz w:val="32"/>
          <w:szCs w:val="32"/>
          <w:lang w:val="en-US" w:eastAsia="zh-CN" w:bidi="ar-SA"/>
        </w:rPr>
      </w:pPr>
      <w:r>
        <w:rPr>
          <w:rFonts w:hint="eastAsia" w:ascii="仿宋" w:hAnsi="仿宋" w:eastAsia="仿宋" w:cs="仿宋"/>
          <w:snapToGrid w:val="0"/>
          <w:color w:val="000000"/>
          <w:spacing w:val="8"/>
          <w:kern w:val="0"/>
          <w:sz w:val="32"/>
          <w:szCs w:val="32"/>
          <w:lang w:val="en-US" w:eastAsia="zh-CN" w:bidi="ar-SA"/>
        </w:rPr>
        <w:t>该项目已征求了袁亮（中国工程院，矿井通风与安全）、王国法（中国工程院，煤矿智能化）、尤文顺（国家能源投资集团有限责任公司、矿井通风与安全）、张承慧（山东大学、自动化）、刘慧（山东财政大学、计算机应用）等5名专家意见。</w:t>
      </w:r>
    </w:p>
    <w:p w14:paraId="28DB6A63">
      <w:pPr>
        <w:keepNext w:val="0"/>
        <w:keepLines w:val="0"/>
        <w:pageBreakBefore w:val="0"/>
        <w:widowControl/>
        <w:kinsoku w:val="0"/>
        <w:wordWrap/>
        <w:overflowPunct/>
        <w:topLinePunct w:val="0"/>
        <w:autoSpaceDE w:val="0"/>
        <w:autoSpaceDN w:val="0"/>
        <w:bidi w:val="0"/>
        <w:adjustRightInd w:val="0"/>
        <w:snapToGrid w:val="0"/>
        <w:spacing w:before="188" w:line="440" w:lineRule="exact"/>
        <w:ind w:left="667"/>
        <w:textAlignment w:val="baseline"/>
        <w:outlineLvl w:val="1"/>
        <w:rPr>
          <w:rFonts w:ascii="黑体" w:hAnsi="黑体" w:eastAsia="黑体" w:cs="黑体"/>
          <w:spacing w:val="8"/>
          <w:sz w:val="32"/>
          <w:szCs w:val="32"/>
        </w:rPr>
      </w:pPr>
      <w:r>
        <w:rPr>
          <w:rFonts w:ascii="黑体" w:hAnsi="黑体" w:eastAsia="黑体" w:cs="黑体"/>
          <w:spacing w:val="8"/>
          <w:sz w:val="32"/>
          <w:szCs w:val="32"/>
        </w:rPr>
        <w:t>三、提名等级</w:t>
      </w:r>
    </w:p>
    <w:p w14:paraId="3FA35A6D">
      <w:pPr>
        <w:pStyle w:val="2"/>
        <w:keepNext w:val="0"/>
        <w:keepLines w:val="0"/>
        <w:pageBreakBefore w:val="0"/>
        <w:widowControl/>
        <w:kinsoku w:val="0"/>
        <w:wordWrap/>
        <w:overflowPunct/>
        <w:topLinePunct w:val="0"/>
        <w:autoSpaceDE w:val="0"/>
        <w:autoSpaceDN w:val="0"/>
        <w:bidi w:val="0"/>
        <w:adjustRightInd w:val="0"/>
        <w:snapToGrid w:val="0"/>
        <w:spacing w:before="182" w:line="440" w:lineRule="exact"/>
        <w:ind w:left="702"/>
        <w:textAlignment w:val="baseline"/>
        <w:rPr>
          <w:sz w:val="32"/>
          <w:szCs w:val="32"/>
        </w:rPr>
      </w:pPr>
      <w:r>
        <w:rPr>
          <w:spacing w:val="5"/>
          <w:sz w:val="32"/>
          <w:szCs w:val="32"/>
        </w:rPr>
        <w:t>山东省科学技术进步奖</w:t>
      </w:r>
      <w:r>
        <w:rPr>
          <w:rFonts w:hint="eastAsia"/>
          <w:spacing w:val="5"/>
          <w:sz w:val="32"/>
          <w:szCs w:val="32"/>
          <w:lang w:val="en-US" w:eastAsia="zh-CN"/>
        </w:rPr>
        <w:t>一</w:t>
      </w:r>
      <w:r>
        <w:rPr>
          <w:spacing w:val="5"/>
          <w:sz w:val="32"/>
          <w:szCs w:val="32"/>
        </w:rPr>
        <w:t>等奖</w:t>
      </w:r>
    </w:p>
    <w:p w14:paraId="72CED77D">
      <w:pPr>
        <w:keepNext w:val="0"/>
        <w:keepLines w:val="0"/>
        <w:pageBreakBefore w:val="0"/>
        <w:widowControl/>
        <w:kinsoku w:val="0"/>
        <w:wordWrap/>
        <w:overflowPunct/>
        <w:topLinePunct w:val="0"/>
        <w:autoSpaceDE w:val="0"/>
        <w:autoSpaceDN w:val="0"/>
        <w:bidi w:val="0"/>
        <w:adjustRightInd w:val="0"/>
        <w:snapToGrid w:val="0"/>
        <w:spacing w:before="188" w:line="440" w:lineRule="exact"/>
        <w:ind w:left="667"/>
        <w:textAlignment w:val="baseline"/>
        <w:outlineLvl w:val="1"/>
        <w:rPr>
          <w:rFonts w:ascii="黑体" w:hAnsi="黑体" w:eastAsia="黑体" w:cs="黑体"/>
          <w:spacing w:val="8"/>
          <w:sz w:val="32"/>
          <w:szCs w:val="32"/>
        </w:rPr>
      </w:pPr>
      <w:r>
        <w:rPr>
          <w:rFonts w:ascii="黑体" w:hAnsi="黑体" w:eastAsia="黑体" w:cs="黑体"/>
          <w:spacing w:val="8"/>
          <w:sz w:val="32"/>
          <w:szCs w:val="32"/>
        </w:rPr>
        <w:t>四、项目简介</w:t>
      </w:r>
    </w:p>
    <w:p w14:paraId="0AC6274E">
      <w:pPr>
        <w:spacing w:before="115" w:line="240" w:lineRule="auto"/>
        <w:ind w:left="733" w:firstLine="660" w:firstLineChars="200"/>
        <w:rPr>
          <w:rFonts w:hint="eastAsia" w:ascii="仿宋" w:hAnsi="仿宋" w:eastAsia="仿宋" w:cs="仿宋"/>
          <w:snapToGrid w:val="0"/>
          <w:color w:val="000000"/>
          <w:spacing w:val="5"/>
          <w:kern w:val="0"/>
          <w:sz w:val="32"/>
          <w:szCs w:val="32"/>
          <w:lang w:val="en-US" w:eastAsia="zh-CN" w:bidi="ar-SA"/>
        </w:rPr>
      </w:pPr>
      <w:r>
        <w:rPr>
          <w:rFonts w:hint="eastAsia" w:ascii="仿宋" w:hAnsi="仿宋" w:eastAsia="仿宋" w:cs="仿宋"/>
          <w:snapToGrid w:val="0"/>
          <w:color w:val="000000"/>
          <w:spacing w:val="5"/>
          <w:kern w:val="0"/>
          <w:sz w:val="32"/>
          <w:szCs w:val="32"/>
          <w:lang w:val="en-US" w:eastAsia="zh-CN" w:bidi="ar-SA"/>
        </w:rPr>
        <w:t>矿井通风是我国煤矿安全生产的“生命线”与基础保障，智能通风是保障正常生产与应急救灾、防范瓦斯火灾等恶性重大事故的关键支撑，也是落实十五五智慧矿山建设规划、保障煤炭能源安全的核心保障。目前行业内大多数通风系统存在数学模型不科学、求解算法不收敛、优化计算非最优、监测装置不灵敏、调控技术不精准、决策手段不智能等缺陷，且底层仿真与调控核心软件自主化水平不足，难以满足通风自动化和无人化技术要求，现有依赖人工或半人工经验的管理模式，已无法适应智能化发展的迫切需求，亟需技术创新推动智能化升级。</w:t>
      </w:r>
    </w:p>
    <w:p w14:paraId="1A10BD31">
      <w:pPr>
        <w:spacing w:before="115" w:line="240" w:lineRule="auto"/>
        <w:ind w:left="733" w:firstLine="660" w:firstLineChars="200"/>
        <w:rPr>
          <w:rFonts w:hint="eastAsia" w:ascii="仿宋" w:hAnsi="仿宋" w:eastAsia="仿宋" w:cs="仿宋"/>
          <w:snapToGrid w:val="0"/>
          <w:color w:val="000000"/>
          <w:spacing w:val="5"/>
          <w:kern w:val="0"/>
          <w:sz w:val="32"/>
          <w:szCs w:val="32"/>
          <w:lang w:val="en-US" w:eastAsia="zh-CN" w:bidi="ar-SA"/>
        </w:rPr>
      </w:pPr>
      <w:r>
        <w:rPr>
          <w:rFonts w:hint="eastAsia" w:ascii="仿宋" w:hAnsi="仿宋" w:eastAsia="仿宋" w:cs="仿宋"/>
          <w:snapToGrid w:val="0"/>
          <w:color w:val="000000"/>
          <w:spacing w:val="5"/>
          <w:kern w:val="0"/>
          <w:sz w:val="32"/>
          <w:szCs w:val="32"/>
          <w:lang w:val="en-US" w:eastAsia="zh-CN" w:bidi="ar-SA"/>
        </w:rPr>
        <w:t>本项目组基于完全自主可控的蓝光四维地理信息系统平台，经过多年努力攻克了煤矿通风精准感知与智能调控、正常时期低功耗最优按需供风、灾变时期“人、机、环”智能协同调控、通风系统数字孪生等技术难题，实现了通风系统从数据采集到动态调控的全过程自动化和智能化运行，推动了通风系统的少人化、无人化发展，助力煤矿安全管理从“被动应对”向“主动防控”转型升级。</w:t>
      </w:r>
    </w:p>
    <w:p w14:paraId="15665F34">
      <w:pPr>
        <w:spacing w:before="115" w:line="240" w:lineRule="auto"/>
        <w:ind w:left="733" w:firstLine="660" w:firstLineChars="200"/>
        <w:rPr>
          <w:rFonts w:hint="eastAsia" w:ascii="仿宋" w:hAnsi="仿宋" w:eastAsia="仿宋" w:cs="仿宋"/>
          <w:snapToGrid w:val="0"/>
          <w:color w:val="000000"/>
          <w:spacing w:val="5"/>
          <w:kern w:val="0"/>
          <w:sz w:val="32"/>
          <w:szCs w:val="32"/>
          <w:lang w:val="en-US" w:eastAsia="zh-CN" w:bidi="ar-SA"/>
        </w:rPr>
      </w:pPr>
      <w:r>
        <w:rPr>
          <w:rFonts w:hint="eastAsia" w:ascii="仿宋" w:hAnsi="仿宋" w:eastAsia="仿宋" w:cs="仿宋"/>
          <w:snapToGrid w:val="0"/>
          <w:color w:val="000000"/>
          <w:spacing w:val="5"/>
          <w:kern w:val="0"/>
          <w:sz w:val="32"/>
          <w:szCs w:val="32"/>
          <w:lang w:val="en-US" w:eastAsia="zh-CN" w:bidi="ar-SA"/>
        </w:rPr>
        <w:t>主要创新点如下：</w:t>
      </w:r>
    </w:p>
    <w:p w14:paraId="4BD4D235">
      <w:pPr>
        <w:spacing w:before="115" w:line="240" w:lineRule="auto"/>
        <w:ind w:left="733"/>
        <w:rPr>
          <w:rFonts w:hint="eastAsia" w:ascii="仿宋" w:hAnsi="仿宋" w:eastAsia="仿宋" w:cs="仿宋"/>
          <w:snapToGrid w:val="0"/>
          <w:color w:val="000000"/>
          <w:spacing w:val="5"/>
          <w:kern w:val="0"/>
          <w:sz w:val="32"/>
          <w:szCs w:val="32"/>
          <w:lang w:val="en-US" w:eastAsia="zh-CN" w:bidi="ar-SA"/>
        </w:rPr>
      </w:pPr>
      <w:r>
        <w:rPr>
          <w:rFonts w:hint="eastAsia" w:ascii="仿宋" w:hAnsi="仿宋" w:eastAsia="仿宋" w:cs="仿宋"/>
          <w:snapToGrid w:val="0"/>
          <w:color w:val="000000"/>
          <w:spacing w:val="5"/>
          <w:kern w:val="0"/>
          <w:sz w:val="32"/>
          <w:szCs w:val="32"/>
          <w:lang w:val="en-US" w:eastAsia="zh-CN" w:bidi="ar-SA"/>
        </w:rPr>
        <w:t>1、发明了高灵敏测风和精准调风方法，解决了低风速无法测定和调风不精准的难题。补齐现有人工测定或局部在线监测效率低、不系统、不精准、时效性差、布设传感器多、综合成本高、测量精度不足等短板。</w:t>
      </w:r>
    </w:p>
    <w:p w14:paraId="4899F0D5">
      <w:pPr>
        <w:spacing w:before="115" w:line="240" w:lineRule="auto"/>
        <w:ind w:left="733"/>
        <w:rPr>
          <w:rFonts w:hint="eastAsia" w:ascii="仿宋" w:hAnsi="仿宋" w:eastAsia="仿宋" w:cs="仿宋"/>
          <w:snapToGrid w:val="0"/>
          <w:color w:val="000000"/>
          <w:spacing w:val="5"/>
          <w:kern w:val="0"/>
          <w:sz w:val="32"/>
          <w:szCs w:val="32"/>
          <w:lang w:val="en-US" w:eastAsia="zh-CN" w:bidi="ar-SA"/>
        </w:rPr>
      </w:pPr>
      <w:r>
        <w:rPr>
          <w:rFonts w:hint="eastAsia" w:ascii="仿宋" w:hAnsi="仿宋" w:eastAsia="仿宋" w:cs="仿宋"/>
          <w:snapToGrid w:val="0"/>
          <w:color w:val="000000"/>
          <w:spacing w:val="5"/>
          <w:kern w:val="0"/>
          <w:sz w:val="32"/>
          <w:szCs w:val="32"/>
          <w:lang w:val="en-US" w:eastAsia="zh-CN" w:bidi="ar-SA"/>
        </w:rPr>
        <w:t>2、发明了正常时期低功耗最优按需供风方法，攻克参数辨识不准、经验决策、调控粗放、响应滞后、供需失衡、能耗偏高等技术瓶颈，实现矿井智能无人化通风与显著节能降耗。</w:t>
      </w:r>
    </w:p>
    <w:p w14:paraId="005131A5">
      <w:pPr>
        <w:spacing w:before="115" w:line="240" w:lineRule="auto"/>
        <w:ind w:left="733"/>
        <w:rPr>
          <w:rFonts w:hint="eastAsia" w:ascii="仿宋" w:hAnsi="仿宋" w:eastAsia="仿宋" w:cs="仿宋"/>
          <w:snapToGrid w:val="0"/>
          <w:color w:val="000000"/>
          <w:spacing w:val="5"/>
          <w:kern w:val="0"/>
          <w:sz w:val="32"/>
          <w:szCs w:val="32"/>
          <w:lang w:val="en-US" w:eastAsia="zh-CN" w:bidi="ar-SA"/>
        </w:rPr>
      </w:pPr>
      <w:r>
        <w:rPr>
          <w:rFonts w:hint="eastAsia" w:ascii="仿宋" w:hAnsi="仿宋" w:eastAsia="仿宋" w:cs="仿宋"/>
          <w:snapToGrid w:val="0"/>
          <w:color w:val="000000"/>
          <w:spacing w:val="5"/>
          <w:kern w:val="0"/>
          <w:sz w:val="32"/>
          <w:szCs w:val="32"/>
          <w:lang w:val="en-US" w:eastAsia="zh-CN" w:bidi="ar-SA"/>
        </w:rPr>
        <w:t>3、发明了灾变时期“人、机、环”智能协同调控方法，解决了灾变时期风流态势不明、控火与施救难协同的难题。克服现有方法依赖固定预案、灾变工况适配差、无法自动动态响应、通风调控与应急救援难以同步联动的局限性。</w:t>
      </w:r>
    </w:p>
    <w:p w14:paraId="70E4619E">
      <w:pPr>
        <w:spacing w:before="115" w:line="240" w:lineRule="auto"/>
        <w:ind w:left="733"/>
        <w:rPr>
          <w:rFonts w:hint="eastAsia" w:ascii="仿宋" w:hAnsi="仿宋" w:eastAsia="仿宋" w:cs="仿宋"/>
          <w:snapToGrid w:val="0"/>
          <w:color w:val="000000"/>
          <w:spacing w:val="5"/>
          <w:kern w:val="0"/>
          <w:sz w:val="32"/>
          <w:szCs w:val="32"/>
          <w:lang w:val="en-US" w:eastAsia="zh-CN" w:bidi="ar-SA"/>
        </w:rPr>
      </w:pPr>
      <w:r>
        <w:rPr>
          <w:rFonts w:hint="eastAsia" w:ascii="仿宋" w:hAnsi="仿宋" w:eastAsia="仿宋" w:cs="仿宋"/>
          <w:snapToGrid w:val="0"/>
          <w:color w:val="000000"/>
          <w:spacing w:val="5"/>
          <w:kern w:val="0"/>
          <w:sz w:val="32"/>
          <w:szCs w:val="32"/>
          <w:lang w:val="en-US" w:eastAsia="zh-CN" w:bidi="ar-SA"/>
        </w:rPr>
        <w:t>4、创新研发了全栈自主可控矿井通风数字孪生平台，实现了矿井通风全要素动态仿真与智能闭环管控。解决了现有矿井通风系统模型与实测数据偏差大、风量供需失衡、异常响应滞后、调控指令与设施执行脱节的问题。</w:t>
      </w:r>
    </w:p>
    <w:p w14:paraId="646F2BEB">
      <w:pPr>
        <w:spacing w:before="115" w:line="240" w:lineRule="auto"/>
        <w:ind w:left="733" w:firstLine="660" w:firstLineChars="200"/>
        <w:rPr>
          <w:rFonts w:hint="eastAsia" w:ascii="仿宋" w:hAnsi="仿宋" w:eastAsia="仿宋" w:cs="仿宋"/>
          <w:snapToGrid w:val="0"/>
          <w:color w:val="000000"/>
          <w:spacing w:val="5"/>
          <w:kern w:val="0"/>
          <w:sz w:val="32"/>
          <w:szCs w:val="32"/>
          <w:lang w:val="en-US" w:eastAsia="zh-CN" w:bidi="ar-SA"/>
        </w:rPr>
      </w:pPr>
      <w:r>
        <w:rPr>
          <w:rFonts w:hint="eastAsia" w:ascii="仿宋" w:hAnsi="仿宋" w:eastAsia="仿宋" w:cs="仿宋"/>
          <w:snapToGrid w:val="0"/>
          <w:color w:val="000000"/>
          <w:spacing w:val="5"/>
          <w:kern w:val="0"/>
          <w:sz w:val="32"/>
          <w:szCs w:val="32"/>
          <w:lang w:val="en-US" w:eastAsia="zh-CN" w:bidi="ar-SA"/>
        </w:rPr>
        <w:t>本技术成果属于原创性科技成果，具有很强的系统性和实用性，项目成果经技术成果鉴定，达到国际领先水平。目前，项目成果成功应用于内蒙古、新疆、陕西、河南、山东等地多座矿井，创造了巨大的经济和社会效益，填补了矿井通风智能化和全程自动化领域的技术空白，实现按需供风、可靠供风、经济供风和自动化智能通风。推动矿井通风管理从经验型向智能化、标准化转型，增强了矿井防灾抗灾能力，有效降低了事故发生率，明显改善了作业环境，具有显著的经济社会效益和广阔的行业应用前景，为智能精准开采和智慧矿山建设打好“一通三防”的智能化和少人化基础。</w:t>
      </w:r>
    </w:p>
    <w:p w14:paraId="47654023">
      <w:pPr>
        <w:keepNext w:val="0"/>
        <w:keepLines w:val="0"/>
        <w:pageBreakBefore w:val="0"/>
        <w:widowControl/>
        <w:kinsoku w:val="0"/>
        <w:wordWrap/>
        <w:overflowPunct/>
        <w:topLinePunct w:val="0"/>
        <w:autoSpaceDE w:val="0"/>
        <w:autoSpaceDN w:val="0"/>
        <w:bidi w:val="0"/>
        <w:adjustRightInd w:val="0"/>
        <w:snapToGrid w:val="0"/>
        <w:spacing w:before="188" w:line="440" w:lineRule="exact"/>
        <w:ind w:left="667"/>
        <w:textAlignment w:val="baseline"/>
        <w:outlineLvl w:val="1"/>
        <w:rPr>
          <w:rFonts w:ascii="黑体" w:hAnsi="黑体" w:eastAsia="黑体" w:cs="黑体"/>
          <w:spacing w:val="8"/>
          <w:sz w:val="32"/>
          <w:szCs w:val="32"/>
          <w:lang w:val="en-US" w:eastAsia="en-US"/>
        </w:rPr>
      </w:pPr>
      <w:r>
        <w:rPr>
          <w:rFonts w:ascii="黑体" w:hAnsi="黑体" w:eastAsia="黑体" w:cs="黑体"/>
          <w:spacing w:val="8"/>
          <w:sz w:val="32"/>
          <w:szCs w:val="32"/>
          <w:lang w:val="en-US" w:eastAsia="en-US"/>
        </w:rPr>
        <w:t>五、主要知识产权和标准规范等目录</w:t>
      </w:r>
    </w:p>
    <w:p w14:paraId="6557B590">
      <w:pPr>
        <w:spacing w:line="240" w:lineRule="auto"/>
      </w:pPr>
    </w:p>
    <w:tbl>
      <w:tblPr>
        <w:tblStyle w:val="11"/>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8"/>
        <w:gridCol w:w="1427"/>
        <w:gridCol w:w="2057"/>
        <w:gridCol w:w="1076"/>
        <w:gridCol w:w="1887"/>
        <w:gridCol w:w="1417"/>
      </w:tblGrid>
      <w:tr w14:paraId="45CFF0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668" w:type="dxa"/>
            <w:textDirection w:val="tbRlV"/>
            <w:vAlign w:val="center"/>
          </w:tcPr>
          <w:p w14:paraId="21E43263">
            <w:pPr>
              <w:pStyle w:val="12"/>
              <w:keepNext w:val="0"/>
              <w:keepLines w:val="0"/>
              <w:pageBreakBefore w:val="0"/>
              <w:widowControl/>
              <w:kinsoku w:val="0"/>
              <w:wordWrap/>
              <w:overflowPunct/>
              <w:topLinePunct w:val="0"/>
              <w:autoSpaceDE w:val="0"/>
              <w:autoSpaceDN w:val="0"/>
              <w:bidi w:val="0"/>
              <w:adjustRightInd w:val="0"/>
              <w:snapToGrid w:val="0"/>
              <w:spacing w:before="211" w:line="240" w:lineRule="auto"/>
              <w:ind w:left="195" w:firstLine="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序</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1"/>
                <w:sz w:val="24"/>
                <w:szCs w:val="24"/>
              </w:rPr>
              <w:t>号</w:t>
            </w:r>
          </w:p>
        </w:tc>
        <w:tc>
          <w:tcPr>
            <w:tcW w:w="1427" w:type="dxa"/>
            <w:vAlign w:val="center"/>
          </w:tcPr>
          <w:p w14:paraId="7BC60329">
            <w:pPr>
              <w:bidi w:val="0"/>
              <w:jc w:val="center"/>
              <w:rPr>
                <w:rFonts w:hint="eastAsia"/>
              </w:rPr>
            </w:pPr>
            <w:r>
              <w:rPr>
                <w:rFonts w:hint="eastAsia"/>
              </w:rPr>
              <w:t>知识产权（标准）类别</w:t>
            </w:r>
          </w:p>
        </w:tc>
        <w:tc>
          <w:tcPr>
            <w:tcW w:w="2057" w:type="dxa"/>
            <w:vAlign w:val="center"/>
          </w:tcPr>
          <w:p w14:paraId="2FD73D73">
            <w:pPr>
              <w:bidi w:val="0"/>
              <w:jc w:val="center"/>
              <w:rPr>
                <w:rFonts w:hint="eastAsia"/>
              </w:rPr>
            </w:pPr>
            <w:r>
              <w:rPr>
                <w:rFonts w:hint="eastAsia"/>
              </w:rPr>
              <w:t>知识产权（标准）</w:t>
            </w:r>
          </w:p>
          <w:p w14:paraId="6FB351D7">
            <w:pPr>
              <w:bidi w:val="0"/>
              <w:jc w:val="center"/>
              <w:rPr>
                <w:rFonts w:hint="eastAsia"/>
              </w:rPr>
            </w:pPr>
            <w:r>
              <w:rPr>
                <w:rFonts w:hint="eastAsia"/>
              </w:rPr>
              <w:t>具体名称</w:t>
            </w:r>
          </w:p>
        </w:tc>
        <w:tc>
          <w:tcPr>
            <w:tcW w:w="1076" w:type="dxa"/>
            <w:vAlign w:val="center"/>
          </w:tcPr>
          <w:p w14:paraId="26B742BB">
            <w:pPr>
              <w:bidi w:val="0"/>
              <w:jc w:val="center"/>
              <w:rPr>
                <w:rFonts w:hint="eastAsia"/>
              </w:rPr>
            </w:pPr>
            <w:r>
              <w:rPr>
                <w:rFonts w:hint="eastAsia"/>
              </w:rPr>
              <w:t>国家</w:t>
            </w:r>
          </w:p>
          <w:p w14:paraId="1D5EE986">
            <w:pPr>
              <w:bidi w:val="0"/>
              <w:jc w:val="center"/>
              <w:rPr>
                <w:rFonts w:hint="eastAsia"/>
              </w:rPr>
            </w:pPr>
            <w:r>
              <w:rPr>
                <w:rFonts w:hint="eastAsia"/>
              </w:rPr>
              <w:t>（地区）</w:t>
            </w:r>
          </w:p>
        </w:tc>
        <w:tc>
          <w:tcPr>
            <w:tcW w:w="1887" w:type="dxa"/>
            <w:vAlign w:val="center"/>
          </w:tcPr>
          <w:p w14:paraId="486493EF">
            <w:pPr>
              <w:bidi w:val="0"/>
              <w:jc w:val="center"/>
              <w:rPr>
                <w:rFonts w:hint="eastAsia"/>
              </w:rPr>
            </w:pPr>
            <w:r>
              <w:rPr>
                <w:rFonts w:hint="eastAsia"/>
              </w:rPr>
              <w:t>授权（标准发布） 日期</w:t>
            </w:r>
          </w:p>
        </w:tc>
        <w:tc>
          <w:tcPr>
            <w:tcW w:w="1417" w:type="dxa"/>
            <w:vAlign w:val="center"/>
          </w:tcPr>
          <w:p w14:paraId="6AEBA355">
            <w:pPr>
              <w:bidi w:val="0"/>
              <w:jc w:val="center"/>
              <w:rPr>
                <w:rFonts w:hint="eastAsia"/>
              </w:rPr>
            </w:pPr>
            <w:r>
              <w:rPr>
                <w:rFonts w:hint="eastAsia"/>
              </w:rPr>
              <w:t>证书编号</w:t>
            </w:r>
          </w:p>
          <w:p w14:paraId="2B347A72">
            <w:pPr>
              <w:bidi w:val="0"/>
              <w:jc w:val="both"/>
              <w:rPr>
                <w:rFonts w:hint="eastAsia"/>
              </w:rPr>
            </w:pPr>
            <w:r>
              <w:rPr>
                <w:rFonts w:hint="eastAsia"/>
              </w:rPr>
              <w:t>（标准批准发布部门）</w:t>
            </w:r>
          </w:p>
        </w:tc>
      </w:tr>
      <w:tr w14:paraId="209CEF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68" w:type="dxa"/>
            <w:vAlign w:val="center"/>
          </w:tcPr>
          <w:p w14:paraId="0C40EB79">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bookmarkStart w:id="0" w:name="_GoBack" w:colFirst="0" w:colLast="5"/>
            <w:r>
              <w:rPr>
                <w:rFonts w:hint="eastAsia" w:ascii="宋体" w:hAnsi="宋体" w:cs="宋体"/>
                <w:color w:val="auto"/>
                <w:sz w:val="21"/>
                <w:szCs w:val="21"/>
                <w:highlight w:val="none"/>
              </w:rPr>
              <w:t>1</w:t>
            </w:r>
          </w:p>
        </w:tc>
        <w:tc>
          <w:tcPr>
            <w:tcW w:w="1427" w:type="dxa"/>
            <w:vAlign w:val="center"/>
          </w:tcPr>
          <w:p w14:paraId="0789DB61">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rPr>
              <w:t>发明专利</w:t>
            </w:r>
          </w:p>
        </w:tc>
        <w:tc>
          <w:tcPr>
            <w:tcW w:w="2057" w:type="dxa"/>
            <w:vAlign w:val="center"/>
          </w:tcPr>
          <w:p w14:paraId="432592FE">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rPr>
              <w:t>一种矿井通风系统的状态识别方法</w:t>
            </w:r>
          </w:p>
        </w:tc>
        <w:tc>
          <w:tcPr>
            <w:tcW w:w="1076" w:type="dxa"/>
            <w:vAlign w:val="center"/>
          </w:tcPr>
          <w:p w14:paraId="13820C59">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中国</w:t>
            </w:r>
          </w:p>
        </w:tc>
        <w:tc>
          <w:tcPr>
            <w:tcW w:w="1887" w:type="dxa"/>
            <w:vAlign w:val="center"/>
          </w:tcPr>
          <w:p w14:paraId="60D13F6D">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rPr>
              <w:t>2015.7.15</w:t>
            </w:r>
          </w:p>
        </w:tc>
        <w:tc>
          <w:tcPr>
            <w:tcW w:w="1417" w:type="dxa"/>
            <w:vAlign w:val="center"/>
          </w:tcPr>
          <w:p w14:paraId="091ED1DB">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rPr>
              <w:t>1726531</w:t>
            </w:r>
          </w:p>
        </w:tc>
      </w:tr>
      <w:tr w14:paraId="7DB574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2466EF3D">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p>
          <w:p w14:paraId="54FAA615">
            <w:pPr>
              <w:keepNext w:val="0"/>
              <w:keepLines w:val="0"/>
              <w:widowControl/>
              <w:suppressLineNumbers w:val="0"/>
              <w:spacing w:before="0" w:beforeAutospacing="0" w:after="0" w:afterAutospacing="0"/>
              <w:ind w:left="0" w:leftChars="0" w:right="0" w:rightChars="0"/>
              <w:jc w:val="center"/>
              <w:textAlignment w:val="top"/>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p>
        </w:tc>
        <w:tc>
          <w:tcPr>
            <w:tcW w:w="1427" w:type="dxa"/>
            <w:vAlign w:val="center"/>
          </w:tcPr>
          <w:p w14:paraId="5E69031D">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rPr>
              <w:t>发明专利</w:t>
            </w:r>
          </w:p>
        </w:tc>
        <w:tc>
          <w:tcPr>
            <w:tcW w:w="2057" w:type="dxa"/>
            <w:vAlign w:val="center"/>
          </w:tcPr>
          <w:p w14:paraId="30A82600">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rPr>
              <w:t>一种矿井通风系统风道参数的多态自动识别方法</w:t>
            </w:r>
          </w:p>
        </w:tc>
        <w:tc>
          <w:tcPr>
            <w:tcW w:w="1076" w:type="dxa"/>
            <w:vAlign w:val="center"/>
          </w:tcPr>
          <w:p w14:paraId="47DC073B">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中国</w:t>
            </w:r>
          </w:p>
        </w:tc>
        <w:tc>
          <w:tcPr>
            <w:tcW w:w="1887" w:type="dxa"/>
            <w:vAlign w:val="center"/>
          </w:tcPr>
          <w:p w14:paraId="343DC65E">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rPr>
              <w:t>2015.5.27</w:t>
            </w:r>
          </w:p>
        </w:tc>
        <w:tc>
          <w:tcPr>
            <w:tcW w:w="1417" w:type="dxa"/>
            <w:vAlign w:val="center"/>
          </w:tcPr>
          <w:p w14:paraId="6DBF0257">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rPr>
              <w:t>1679545</w:t>
            </w:r>
          </w:p>
        </w:tc>
      </w:tr>
      <w:tr w14:paraId="67FEE2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6BF75291">
            <w:pPr>
              <w:keepNext w:val="0"/>
              <w:keepLines w:val="0"/>
              <w:widowControl/>
              <w:suppressLineNumbers w:val="0"/>
              <w:spacing w:before="0" w:beforeAutospacing="0" w:after="0" w:afterAutospacing="0"/>
              <w:ind w:left="0" w:leftChars="0" w:right="0" w:rightChars="0"/>
              <w:jc w:val="center"/>
              <w:textAlignment w:val="top"/>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p>
        </w:tc>
        <w:tc>
          <w:tcPr>
            <w:tcW w:w="1427" w:type="dxa"/>
            <w:vAlign w:val="center"/>
          </w:tcPr>
          <w:p w14:paraId="6019FBBE">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rPr>
              <w:t>发明专利</w:t>
            </w:r>
          </w:p>
          <w:p w14:paraId="346BCA6A">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p>
        </w:tc>
        <w:tc>
          <w:tcPr>
            <w:tcW w:w="2057" w:type="dxa"/>
            <w:shd w:val="clear" w:color="auto" w:fill="auto"/>
            <w:vAlign w:val="center"/>
          </w:tcPr>
          <w:p w14:paraId="201116A5">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一种矿井全局精确测风的传感器优化布置方法</w:t>
            </w:r>
          </w:p>
        </w:tc>
        <w:tc>
          <w:tcPr>
            <w:tcW w:w="1076" w:type="dxa"/>
            <w:vAlign w:val="center"/>
          </w:tcPr>
          <w:p w14:paraId="5051E83F">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中国</w:t>
            </w:r>
          </w:p>
        </w:tc>
        <w:tc>
          <w:tcPr>
            <w:tcW w:w="1887" w:type="dxa"/>
            <w:shd w:val="clear" w:color="auto" w:fill="auto"/>
            <w:vAlign w:val="center"/>
          </w:tcPr>
          <w:p w14:paraId="218DD2EA">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2018.3.20</w:t>
            </w:r>
          </w:p>
        </w:tc>
        <w:tc>
          <w:tcPr>
            <w:tcW w:w="1417" w:type="dxa"/>
            <w:shd w:val="clear" w:color="auto" w:fill="auto"/>
            <w:vAlign w:val="center"/>
          </w:tcPr>
          <w:p w14:paraId="4CBA0991">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2851739</w:t>
            </w:r>
          </w:p>
        </w:tc>
      </w:tr>
      <w:tr w14:paraId="7248DE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2DD55044">
            <w:pPr>
              <w:keepNext w:val="0"/>
              <w:keepLines w:val="0"/>
              <w:widowControl/>
              <w:suppressLineNumbers w:val="0"/>
              <w:spacing w:before="0" w:beforeAutospacing="0" w:after="0" w:afterAutospacing="0"/>
              <w:ind w:left="0" w:leftChars="0" w:right="0" w:rightChars="0"/>
              <w:jc w:val="center"/>
              <w:textAlignment w:val="top"/>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p>
        </w:tc>
        <w:tc>
          <w:tcPr>
            <w:tcW w:w="1427" w:type="dxa"/>
            <w:vAlign w:val="center"/>
          </w:tcPr>
          <w:p w14:paraId="623F348D">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rPr>
              <w:t>发明专利</w:t>
            </w:r>
          </w:p>
        </w:tc>
        <w:tc>
          <w:tcPr>
            <w:tcW w:w="2057" w:type="dxa"/>
            <w:shd w:val="clear" w:color="auto" w:fill="auto"/>
            <w:vAlign w:val="center"/>
          </w:tcPr>
          <w:p w14:paraId="72A63642">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矿井需风量的全息预测方法</w:t>
            </w:r>
          </w:p>
        </w:tc>
        <w:tc>
          <w:tcPr>
            <w:tcW w:w="1076" w:type="dxa"/>
            <w:vAlign w:val="center"/>
          </w:tcPr>
          <w:p w14:paraId="2733C333">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中国</w:t>
            </w:r>
          </w:p>
        </w:tc>
        <w:tc>
          <w:tcPr>
            <w:tcW w:w="1887" w:type="dxa"/>
            <w:shd w:val="clear" w:color="auto" w:fill="auto"/>
            <w:vAlign w:val="center"/>
          </w:tcPr>
          <w:p w14:paraId="105867F5">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2017.11.21</w:t>
            </w:r>
          </w:p>
        </w:tc>
        <w:tc>
          <w:tcPr>
            <w:tcW w:w="1417" w:type="dxa"/>
            <w:shd w:val="clear" w:color="auto" w:fill="auto"/>
            <w:vAlign w:val="center"/>
          </w:tcPr>
          <w:p w14:paraId="1B665194">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2706559</w:t>
            </w:r>
          </w:p>
        </w:tc>
      </w:tr>
      <w:tr w14:paraId="37BAB9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5A43B911">
            <w:pPr>
              <w:keepNext w:val="0"/>
              <w:keepLines w:val="0"/>
              <w:widowControl/>
              <w:suppressLineNumbers w:val="0"/>
              <w:spacing w:before="0" w:beforeAutospacing="0" w:after="0" w:afterAutospacing="0"/>
              <w:ind w:left="0" w:leftChars="0" w:right="0" w:rightChars="0"/>
              <w:jc w:val="center"/>
              <w:textAlignment w:val="top"/>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p>
        </w:tc>
        <w:tc>
          <w:tcPr>
            <w:tcW w:w="1427" w:type="dxa"/>
            <w:shd w:val="clear" w:color="auto" w:fill="auto"/>
            <w:vAlign w:val="center"/>
          </w:tcPr>
          <w:p w14:paraId="1267ACB7">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发明专利</w:t>
            </w:r>
          </w:p>
        </w:tc>
        <w:tc>
          <w:tcPr>
            <w:tcW w:w="2057" w:type="dxa"/>
            <w:shd w:val="clear" w:color="auto" w:fill="auto"/>
            <w:vAlign w:val="center"/>
          </w:tcPr>
          <w:p w14:paraId="7FA155AF">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一种矿井通风系统全局自动调控装置及方法</w:t>
            </w:r>
          </w:p>
        </w:tc>
        <w:tc>
          <w:tcPr>
            <w:tcW w:w="1076" w:type="dxa"/>
            <w:shd w:val="clear" w:color="auto" w:fill="auto"/>
            <w:vAlign w:val="center"/>
          </w:tcPr>
          <w:p w14:paraId="53FF21D8">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lang w:val="en-US" w:eastAsia="zh-CN"/>
              </w:rPr>
              <w:t>中国</w:t>
            </w:r>
          </w:p>
        </w:tc>
        <w:tc>
          <w:tcPr>
            <w:tcW w:w="1887" w:type="dxa"/>
            <w:shd w:val="clear" w:color="auto" w:fill="auto"/>
            <w:vAlign w:val="center"/>
          </w:tcPr>
          <w:p w14:paraId="2E1F9387">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2015.9.30</w:t>
            </w:r>
          </w:p>
        </w:tc>
        <w:tc>
          <w:tcPr>
            <w:tcW w:w="1417" w:type="dxa"/>
            <w:shd w:val="clear" w:color="auto" w:fill="auto"/>
            <w:vAlign w:val="center"/>
          </w:tcPr>
          <w:p w14:paraId="7B188492">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1806188</w:t>
            </w:r>
          </w:p>
        </w:tc>
      </w:tr>
      <w:tr w14:paraId="5FD069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29C4FC23">
            <w:pPr>
              <w:keepNext w:val="0"/>
              <w:keepLines w:val="0"/>
              <w:widowControl/>
              <w:suppressLineNumbers w:val="0"/>
              <w:spacing w:before="0" w:beforeAutospacing="0" w:after="0" w:afterAutospacing="0"/>
              <w:ind w:left="0" w:leftChars="0" w:right="0" w:rightChars="0"/>
              <w:jc w:val="center"/>
              <w:textAlignment w:val="top"/>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p>
        </w:tc>
        <w:tc>
          <w:tcPr>
            <w:tcW w:w="1427" w:type="dxa"/>
            <w:shd w:val="clear" w:color="auto" w:fill="auto"/>
            <w:vAlign w:val="center"/>
          </w:tcPr>
          <w:p w14:paraId="0A05922B">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rPr>
              <w:t>发明专利</w:t>
            </w:r>
          </w:p>
          <w:p w14:paraId="52DB2A7E">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p>
        </w:tc>
        <w:tc>
          <w:tcPr>
            <w:tcW w:w="2057" w:type="dxa"/>
            <w:shd w:val="clear" w:color="auto" w:fill="auto"/>
            <w:vAlign w:val="center"/>
          </w:tcPr>
          <w:p w14:paraId="72A48839">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一种矿井通风系统的联合优调优控方法</w:t>
            </w:r>
          </w:p>
        </w:tc>
        <w:tc>
          <w:tcPr>
            <w:tcW w:w="1076" w:type="dxa"/>
            <w:shd w:val="clear" w:color="auto" w:fill="auto"/>
            <w:vAlign w:val="center"/>
          </w:tcPr>
          <w:p w14:paraId="5549B15A">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lang w:val="en-US" w:eastAsia="zh-CN"/>
              </w:rPr>
              <w:t>中国</w:t>
            </w:r>
          </w:p>
        </w:tc>
        <w:tc>
          <w:tcPr>
            <w:tcW w:w="1887" w:type="dxa"/>
            <w:shd w:val="clear" w:color="auto" w:fill="auto"/>
            <w:vAlign w:val="center"/>
          </w:tcPr>
          <w:p w14:paraId="43F79478">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2016.5.25</w:t>
            </w:r>
          </w:p>
        </w:tc>
        <w:tc>
          <w:tcPr>
            <w:tcW w:w="1417" w:type="dxa"/>
            <w:shd w:val="clear" w:color="auto" w:fill="auto"/>
            <w:vAlign w:val="center"/>
          </w:tcPr>
          <w:p w14:paraId="5BC7D98F">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2083638</w:t>
            </w:r>
          </w:p>
        </w:tc>
      </w:tr>
      <w:tr w14:paraId="25DB09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22FDD7FB">
            <w:pPr>
              <w:keepNext w:val="0"/>
              <w:keepLines w:val="0"/>
              <w:widowControl/>
              <w:suppressLineNumbers w:val="0"/>
              <w:spacing w:before="0" w:beforeAutospacing="0" w:after="0" w:afterAutospacing="0"/>
              <w:ind w:left="0" w:leftChars="0" w:right="0" w:rightChars="0"/>
              <w:jc w:val="center"/>
              <w:textAlignment w:val="top"/>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p>
        </w:tc>
        <w:tc>
          <w:tcPr>
            <w:tcW w:w="1427" w:type="dxa"/>
            <w:shd w:val="clear" w:color="auto" w:fill="auto"/>
            <w:vAlign w:val="center"/>
          </w:tcPr>
          <w:p w14:paraId="2DC526F4">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发明专利</w:t>
            </w:r>
          </w:p>
        </w:tc>
        <w:tc>
          <w:tcPr>
            <w:tcW w:w="2057" w:type="dxa"/>
            <w:shd w:val="clear" w:color="auto" w:fill="auto"/>
            <w:vAlign w:val="center"/>
          </w:tcPr>
          <w:p w14:paraId="026525F3">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矿井通风系统在线闭环优调优控方法</w:t>
            </w:r>
          </w:p>
        </w:tc>
        <w:tc>
          <w:tcPr>
            <w:tcW w:w="1076" w:type="dxa"/>
            <w:shd w:val="clear" w:color="auto" w:fill="auto"/>
            <w:vAlign w:val="center"/>
          </w:tcPr>
          <w:p w14:paraId="2913660D">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lang w:val="en-US" w:eastAsia="zh-CN"/>
              </w:rPr>
              <w:t>中国</w:t>
            </w:r>
          </w:p>
        </w:tc>
        <w:tc>
          <w:tcPr>
            <w:tcW w:w="1887" w:type="dxa"/>
            <w:shd w:val="clear" w:color="auto" w:fill="auto"/>
            <w:vAlign w:val="center"/>
          </w:tcPr>
          <w:p w14:paraId="26831AE5">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2016.3.16</w:t>
            </w:r>
          </w:p>
        </w:tc>
        <w:tc>
          <w:tcPr>
            <w:tcW w:w="1417" w:type="dxa"/>
            <w:shd w:val="clear" w:color="auto" w:fill="auto"/>
            <w:vAlign w:val="center"/>
          </w:tcPr>
          <w:p w14:paraId="10047E2F">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1984427</w:t>
            </w:r>
          </w:p>
        </w:tc>
      </w:tr>
      <w:tr w14:paraId="546D65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234FBA7B">
            <w:pPr>
              <w:keepNext w:val="0"/>
              <w:keepLines w:val="0"/>
              <w:widowControl/>
              <w:suppressLineNumbers w:val="0"/>
              <w:spacing w:before="0" w:beforeAutospacing="0" w:after="0" w:afterAutospacing="0"/>
              <w:ind w:left="0" w:leftChars="0" w:right="0" w:rightChars="0"/>
              <w:jc w:val="center"/>
              <w:textAlignment w:val="top"/>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8</w:t>
            </w:r>
          </w:p>
        </w:tc>
        <w:tc>
          <w:tcPr>
            <w:tcW w:w="1427" w:type="dxa"/>
            <w:shd w:val="clear" w:color="auto" w:fill="auto"/>
            <w:vAlign w:val="center"/>
          </w:tcPr>
          <w:p w14:paraId="3AAA9410">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发明专利</w:t>
            </w:r>
          </w:p>
        </w:tc>
        <w:tc>
          <w:tcPr>
            <w:tcW w:w="2057" w:type="dxa"/>
            <w:shd w:val="clear" w:color="auto" w:fill="auto"/>
            <w:vAlign w:val="center"/>
          </w:tcPr>
          <w:p w14:paraId="5E053727">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一种矿井灾变时期风流人流协同调控方法</w:t>
            </w:r>
          </w:p>
        </w:tc>
        <w:tc>
          <w:tcPr>
            <w:tcW w:w="1076" w:type="dxa"/>
            <w:shd w:val="clear" w:color="auto" w:fill="auto"/>
            <w:vAlign w:val="center"/>
          </w:tcPr>
          <w:p w14:paraId="3A832D17">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lang w:val="en-US" w:eastAsia="zh-CN"/>
              </w:rPr>
              <w:t>中国</w:t>
            </w:r>
          </w:p>
        </w:tc>
        <w:tc>
          <w:tcPr>
            <w:tcW w:w="1887" w:type="dxa"/>
            <w:shd w:val="clear" w:color="auto" w:fill="auto"/>
            <w:vAlign w:val="center"/>
          </w:tcPr>
          <w:p w14:paraId="763C93F2">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2023.4.28</w:t>
            </w:r>
          </w:p>
        </w:tc>
        <w:tc>
          <w:tcPr>
            <w:tcW w:w="1417" w:type="dxa"/>
            <w:shd w:val="clear" w:color="auto" w:fill="auto"/>
            <w:vAlign w:val="center"/>
          </w:tcPr>
          <w:p w14:paraId="3C8129D6">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5918076</w:t>
            </w:r>
          </w:p>
        </w:tc>
      </w:tr>
      <w:tr w14:paraId="42324A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73E02213">
            <w:pPr>
              <w:keepNext w:val="0"/>
              <w:keepLines w:val="0"/>
              <w:widowControl/>
              <w:suppressLineNumbers w:val="0"/>
              <w:spacing w:before="0" w:beforeAutospacing="0" w:after="0" w:afterAutospacing="0"/>
              <w:ind w:left="0" w:leftChars="0" w:right="0" w:rightChars="0"/>
              <w:jc w:val="center"/>
              <w:textAlignment w:val="top"/>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9</w:t>
            </w:r>
          </w:p>
        </w:tc>
        <w:tc>
          <w:tcPr>
            <w:tcW w:w="1427" w:type="dxa"/>
            <w:shd w:val="clear" w:color="auto" w:fill="auto"/>
            <w:vAlign w:val="center"/>
          </w:tcPr>
          <w:p w14:paraId="08DE318B">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rPr>
              <w:t>发明专利</w:t>
            </w:r>
          </w:p>
          <w:p w14:paraId="7EE3FEBD">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p>
        </w:tc>
        <w:tc>
          <w:tcPr>
            <w:tcW w:w="2057" w:type="dxa"/>
            <w:shd w:val="clear" w:color="auto" w:fill="auto"/>
            <w:vAlign w:val="center"/>
          </w:tcPr>
          <w:p w14:paraId="53D6CE40">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一种复杂矿井通风网络的模拟分析方法</w:t>
            </w:r>
          </w:p>
        </w:tc>
        <w:tc>
          <w:tcPr>
            <w:tcW w:w="1076" w:type="dxa"/>
            <w:shd w:val="clear" w:color="auto" w:fill="auto"/>
            <w:vAlign w:val="center"/>
          </w:tcPr>
          <w:p w14:paraId="57E44CAD">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lang w:val="en-US" w:eastAsia="zh-CN"/>
              </w:rPr>
              <w:t>中国</w:t>
            </w:r>
          </w:p>
        </w:tc>
        <w:tc>
          <w:tcPr>
            <w:tcW w:w="1887" w:type="dxa"/>
            <w:shd w:val="clear" w:color="auto" w:fill="auto"/>
            <w:vAlign w:val="center"/>
          </w:tcPr>
          <w:p w14:paraId="577A3954">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2022.9.30</w:t>
            </w:r>
          </w:p>
        </w:tc>
        <w:tc>
          <w:tcPr>
            <w:tcW w:w="1417" w:type="dxa"/>
            <w:shd w:val="clear" w:color="auto" w:fill="auto"/>
            <w:vAlign w:val="center"/>
          </w:tcPr>
          <w:p w14:paraId="7C76F97E">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default" w:ascii="宋体" w:hAnsi="宋体" w:cs="宋体"/>
                <w:color w:val="auto"/>
                <w:sz w:val="21"/>
                <w:szCs w:val="21"/>
                <w:highlight w:val="none"/>
              </w:rPr>
              <w:t>5491600</w:t>
            </w:r>
          </w:p>
        </w:tc>
      </w:tr>
      <w:tr w14:paraId="2D1FAD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6CB1EAF7">
            <w:pPr>
              <w:keepNext w:val="0"/>
              <w:keepLines w:val="0"/>
              <w:widowControl/>
              <w:suppressLineNumbers w:val="0"/>
              <w:spacing w:before="0" w:beforeAutospacing="0" w:after="0" w:afterAutospacing="0"/>
              <w:ind w:left="0" w:leftChars="0" w:right="0" w:rightChars="0"/>
              <w:jc w:val="center"/>
              <w:textAlignment w:val="top"/>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10</w:t>
            </w:r>
          </w:p>
        </w:tc>
        <w:tc>
          <w:tcPr>
            <w:tcW w:w="1427" w:type="dxa"/>
            <w:shd w:val="clear" w:color="auto" w:fill="auto"/>
            <w:vAlign w:val="center"/>
          </w:tcPr>
          <w:p w14:paraId="43C64E3D">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lang w:val="en-US" w:eastAsia="zh-CN"/>
              </w:rPr>
              <w:t>国家标准</w:t>
            </w:r>
          </w:p>
        </w:tc>
        <w:tc>
          <w:tcPr>
            <w:tcW w:w="2057" w:type="dxa"/>
            <w:vAlign w:val="center"/>
          </w:tcPr>
          <w:p w14:paraId="22F19FCF">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rPr>
              <w:t>智慧矿山信息系统通用技术规范</w:t>
            </w:r>
          </w:p>
        </w:tc>
        <w:tc>
          <w:tcPr>
            <w:tcW w:w="1076" w:type="dxa"/>
            <w:shd w:val="clear" w:color="auto" w:fill="auto"/>
            <w:vAlign w:val="center"/>
          </w:tcPr>
          <w:p w14:paraId="475FF8BD">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lang w:val="en-US" w:eastAsia="zh-CN"/>
              </w:rPr>
              <w:t>中国</w:t>
            </w:r>
          </w:p>
        </w:tc>
        <w:tc>
          <w:tcPr>
            <w:tcW w:w="1887" w:type="dxa"/>
            <w:vAlign w:val="center"/>
          </w:tcPr>
          <w:p w14:paraId="0EDA03EA">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2018.5.7</w:t>
            </w:r>
          </w:p>
        </w:tc>
        <w:tc>
          <w:tcPr>
            <w:tcW w:w="1417" w:type="dxa"/>
            <w:vAlign w:val="center"/>
          </w:tcPr>
          <w:p w14:paraId="5F5D3334">
            <w:pPr>
              <w:keepNext w:val="0"/>
              <w:keepLines w:val="0"/>
              <w:widowControl/>
              <w:suppressLineNumbers w:val="0"/>
              <w:spacing w:before="0" w:beforeAutospacing="0" w:after="0" w:afterAutospacing="0"/>
              <w:ind w:left="0" w:leftChars="0" w:right="0" w:rightChars="0"/>
              <w:jc w:val="center"/>
              <w:textAlignment w:val="top"/>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中华人民共和国国家质量监督检查检疫总局、中国国家标准化管理委员会</w:t>
            </w:r>
          </w:p>
        </w:tc>
      </w:tr>
      <w:bookmarkEnd w:id="0"/>
    </w:tbl>
    <w:p w14:paraId="26B4D7A8">
      <w:pPr>
        <w:spacing w:before="290" w:line="240" w:lineRule="auto"/>
        <w:ind w:left="734"/>
        <w:outlineLvl w:val="1"/>
        <w:rPr>
          <w:rFonts w:ascii="黑体" w:hAnsi="黑体" w:eastAsia="黑体" w:cs="黑体"/>
          <w:sz w:val="30"/>
          <w:szCs w:val="30"/>
        </w:rPr>
      </w:pPr>
      <w:r>
        <w:rPr>
          <w:rFonts w:ascii="黑体" w:hAnsi="黑体" w:eastAsia="黑体" w:cs="黑体"/>
          <w:spacing w:val="-2"/>
          <w:sz w:val="30"/>
          <w:szCs w:val="30"/>
        </w:rPr>
        <w:t>六、主要完成人、主要完成单位情况</w:t>
      </w:r>
    </w:p>
    <w:p w14:paraId="3D7C624C">
      <w:pPr>
        <w:spacing w:line="240" w:lineRule="auto"/>
      </w:pPr>
    </w:p>
    <w:tbl>
      <w:tblPr>
        <w:tblStyle w:val="11"/>
        <w:tblW w:w="88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0"/>
        <w:gridCol w:w="1249"/>
        <w:gridCol w:w="3422"/>
        <w:gridCol w:w="3482"/>
      </w:tblGrid>
      <w:tr w14:paraId="2F65E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8813" w:type="dxa"/>
            <w:gridSpan w:val="4"/>
            <w:vAlign w:val="top"/>
          </w:tcPr>
          <w:p w14:paraId="469F1598">
            <w:pPr>
              <w:pStyle w:val="12"/>
              <w:spacing w:before="35" w:line="240" w:lineRule="auto"/>
              <w:ind w:left="3538"/>
              <w:rPr>
                <w:sz w:val="20"/>
                <w:szCs w:val="20"/>
              </w:rPr>
            </w:pPr>
            <w:r>
              <w:rPr>
                <w:spacing w:val="8"/>
                <w:sz w:val="20"/>
                <w:szCs w:val="20"/>
              </w:rPr>
              <w:t>主要完成人情况</w:t>
            </w:r>
          </w:p>
        </w:tc>
      </w:tr>
      <w:tr w14:paraId="43811B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14:paraId="797923D3">
            <w:pPr>
              <w:pStyle w:val="12"/>
              <w:spacing w:before="33" w:line="240" w:lineRule="auto"/>
              <w:ind w:left="126"/>
              <w:rPr>
                <w:sz w:val="20"/>
                <w:szCs w:val="20"/>
              </w:rPr>
            </w:pPr>
            <w:r>
              <w:rPr>
                <w:spacing w:val="4"/>
                <w:sz w:val="20"/>
                <w:szCs w:val="20"/>
              </w:rPr>
              <w:t>排名</w:t>
            </w:r>
          </w:p>
        </w:tc>
        <w:tc>
          <w:tcPr>
            <w:tcW w:w="1249" w:type="dxa"/>
            <w:vAlign w:val="top"/>
          </w:tcPr>
          <w:p w14:paraId="1E39D39F">
            <w:pPr>
              <w:pStyle w:val="12"/>
              <w:spacing w:before="33" w:line="240" w:lineRule="auto"/>
              <w:ind w:left="418"/>
              <w:rPr>
                <w:sz w:val="20"/>
                <w:szCs w:val="20"/>
              </w:rPr>
            </w:pPr>
            <w:r>
              <w:rPr>
                <w:spacing w:val="4"/>
                <w:sz w:val="20"/>
                <w:szCs w:val="20"/>
              </w:rPr>
              <w:t>姓名</w:t>
            </w:r>
          </w:p>
        </w:tc>
        <w:tc>
          <w:tcPr>
            <w:tcW w:w="3422" w:type="dxa"/>
            <w:vAlign w:val="top"/>
          </w:tcPr>
          <w:p w14:paraId="6D25A032">
            <w:pPr>
              <w:pStyle w:val="12"/>
              <w:spacing w:before="33" w:line="240" w:lineRule="auto"/>
              <w:ind w:left="1243"/>
              <w:rPr>
                <w:sz w:val="20"/>
                <w:szCs w:val="20"/>
              </w:rPr>
            </w:pPr>
            <w:r>
              <w:rPr>
                <w:spacing w:val="6"/>
                <w:sz w:val="20"/>
                <w:szCs w:val="20"/>
              </w:rPr>
              <w:t>工作单位</w:t>
            </w:r>
          </w:p>
        </w:tc>
        <w:tc>
          <w:tcPr>
            <w:tcW w:w="3482" w:type="dxa"/>
            <w:vAlign w:val="top"/>
          </w:tcPr>
          <w:p w14:paraId="72CAFF68">
            <w:pPr>
              <w:pStyle w:val="12"/>
              <w:spacing w:before="33" w:line="240" w:lineRule="auto"/>
              <w:ind w:left="1242"/>
              <w:rPr>
                <w:sz w:val="20"/>
                <w:szCs w:val="20"/>
              </w:rPr>
            </w:pPr>
            <w:r>
              <w:rPr>
                <w:spacing w:val="6"/>
                <w:sz w:val="20"/>
                <w:szCs w:val="20"/>
              </w:rPr>
              <w:t>完成单位</w:t>
            </w:r>
          </w:p>
        </w:tc>
      </w:tr>
      <w:tr w14:paraId="60FA0E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6B9949C8">
            <w:pPr>
              <w:spacing w:before="67" w:line="240" w:lineRule="auto"/>
              <w:ind w:left="298"/>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249" w:type="dxa"/>
            <w:vAlign w:val="center"/>
          </w:tcPr>
          <w:p w14:paraId="2A1FE9AF">
            <w:pPr>
              <w:jc w:val="center"/>
              <w:rPr>
                <w:rFonts w:hint="eastAsia" w:eastAsia="宋体"/>
                <w:sz w:val="20"/>
                <w:szCs w:val="20"/>
                <w:lang w:val="en-US" w:eastAsia="zh-CN"/>
              </w:rPr>
            </w:pPr>
            <w:r>
              <w:rPr>
                <w:rFonts w:hint="eastAsia" w:eastAsia="宋体"/>
                <w:sz w:val="20"/>
                <w:szCs w:val="20"/>
                <w:lang w:val="en-US" w:eastAsia="zh-CN"/>
              </w:rPr>
              <w:t>卢新明</w:t>
            </w:r>
          </w:p>
        </w:tc>
        <w:tc>
          <w:tcPr>
            <w:tcW w:w="3422" w:type="dxa"/>
            <w:vAlign w:val="center"/>
          </w:tcPr>
          <w:p w14:paraId="01FBD7C6">
            <w:pPr>
              <w:pStyle w:val="12"/>
              <w:keepNext w:val="0"/>
              <w:keepLines w:val="0"/>
              <w:pageBreakBefore w:val="0"/>
              <w:widowControl/>
              <w:kinsoku w:val="0"/>
              <w:wordWrap/>
              <w:overflowPunct/>
              <w:topLinePunct w:val="0"/>
              <w:autoSpaceDE w:val="0"/>
              <w:autoSpaceDN w:val="0"/>
              <w:bidi w:val="0"/>
              <w:adjustRightInd w:val="0"/>
              <w:snapToGrid w:val="0"/>
              <w:spacing w:before="33" w:line="240" w:lineRule="auto"/>
              <w:ind w:left="420"/>
              <w:jc w:val="center"/>
              <w:textAlignment w:val="baseline"/>
              <w:rPr>
                <w:sz w:val="20"/>
                <w:szCs w:val="20"/>
              </w:rPr>
            </w:pPr>
            <w:r>
              <w:rPr>
                <w:rFonts w:hint="eastAsia" w:ascii="宋体" w:hAnsi="宋体" w:eastAsia="宋体" w:cs="宋体"/>
                <w:spacing w:val="4"/>
                <w:sz w:val="20"/>
                <w:szCs w:val="20"/>
                <w:lang w:val="en-US" w:eastAsia="zh-CN"/>
              </w:rPr>
              <w:t>山东蓝光软件有限公司</w:t>
            </w:r>
          </w:p>
        </w:tc>
        <w:tc>
          <w:tcPr>
            <w:tcW w:w="3482" w:type="dxa"/>
            <w:vAlign w:val="center"/>
          </w:tcPr>
          <w:p w14:paraId="0B651B38">
            <w:pPr>
              <w:jc w:val="center"/>
              <w:rPr>
                <w:sz w:val="20"/>
                <w:szCs w:val="20"/>
                <w:highlight w:val="none"/>
              </w:rPr>
            </w:pPr>
            <w:r>
              <w:rPr>
                <w:rFonts w:hint="eastAsia" w:ascii="宋体" w:hAnsi="宋体" w:eastAsia="宋体" w:cs="宋体"/>
                <w:snapToGrid w:val="0"/>
                <w:color w:val="000000"/>
                <w:spacing w:val="4"/>
                <w:kern w:val="0"/>
                <w:sz w:val="20"/>
                <w:szCs w:val="20"/>
                <w:lang w:val="en-US" w:eastAsia="zh-CN" w:bidi="ar-SA"/>
              </w:rPr>
              <w:t>山东蓝光软件有限公司</w:t>
            </w:r>
          </w:p>
        </w:tc>
      </w:tr>
      <w:tr w14:paraId="2B3BCE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76AD8964">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w:t>
            </w:r>
          </w:p>
        </w:tc>
        <w:tc>
          <w:tcPr>
            <w:tcW w:w="1249" w:type="dxa"/>
            <w:vAlign w:val="center"/>
          </w:tcPr>
          <w:p w14:paraId="4E54C4E5">
            <w:pPr>
              <w:jc w:val="center"/>
              <w:rPr>
                <w:rFonts w:hint="eastAsia" w:eastAsia="宋体"/>
                <w:sz w:val="20"/>
                <w:szCs w:val="20"/>
                <w:lang w:val="en-US" w:eastAsia="zh-CN"/>
              </w:rPr>
            </w:pPr>
            <w:r>
              <w:rPr>
                <w:rFonts w:hint="eastAsia" w:ascii="宋体" w:hAnsi="宋体" w:eastAsia="宋体" w:cs="宋体"/>
                <w:color w:val="auto"/>
                <w:sz w:val="21"/>
                <w:szCs w:val="21"/>
                <w:highlight w:val="none"/>
                <w:lang w:val="en-US" w:eastAsia="zh-CN"/>
              </w:rPr>
              <w:t>郭英</w:t>
            </w:r>
          </w:p>
        </w:tc>
        <w:tc>
          <w:tcPr>
            <w:tcW w:w="3422" w:type="dxa"/>
            <w:vAlign w:val="center"/>
          </w:tcPr>
          <w:p w14:paraId="7660CAED">
            <w:pPr>
              <w:pStyle w:val="12"/>
              <w:keepNext w:val="0"/>
              <w:keepLines w:val="0"/>
              <w:pageBreakBefore w:val="0"/>
              <w:widowControl/>
              <w:kinsoku w:val="0"/>
              <w:wordWrap/>
              <w:overflowPunct/>
              <w:topLinePunct w:val="0"/>
              <w:autoSpaceDE w:val="0"/>
              <w:autoSpaceDN w:val="0"/>
              <w:bidi w:val="0"/>
              <w:adjustRightInd w:val="0"/>
              <w:snapToGrid w:val="0"/>
              <w:spacing w:before="33" w:line="240" w:lineRule="auto"/>
              <w:ind w:left="420"/>
              <w:jc w:val="center"/>
              <w:textAlignment w:val="baseline"/>
              <w:rPr>
                <w:rFonts w:hint="eastAsia" w:ascii="宋体" w:hAnsi="宋体" w:eastAsia="宋体" w:cs="宋体"/>
                <w:spacing w:val="4"/>
                <w:sz w:val="20"/>
                <w:szCs w:val="20"/>
                <w:lang w:val="en-US" w:eastAsia="zh-CN"/>
              </w:rPr>
            </w:pPr>
            <w:r>
              <w:rPr>
                <w:rFonts w:hint="eastAsia" w:ascii="Arial Unicode MS" w:hAnsi="Arial Unicode MS" w:eastAsia="宋体" w:cs="Arial Unicode MS"/>
                <w:b w:val="0"/>
                <w:bCs w:val="0"/>
                <w:i w:val="0"/>
                <w:iCs w:val="0"/>
                <w:caps w:val="0"/>
                <w:smallCaps w:val="0"/>
                <w:strike w:val="0"/>
                <w:dstrike w:val="0"/>
                <w:color w:val="auto"/>
                <w:spacing w:val="0"/>
                <w:kern w:val="2"/>
                <w:position w:val="0"/>
                <w:sz w:val="21"/>
                <w:szCs w:val="21"/>
                <w:highlight w:val="none"/>
                <w:u w:val="none" w:color="000000"/>
                <w:shd w:val="clear" w:color="auto" w:fill="auto"/>
                <w:vertAlign w:val="baseline"/>
                <w:rtl w:val="0"/>
              </w:rPr>
              <w:t>兖矿能源集团股份有限公司</w:t>
            </w:r>
          </w:p>
        </w:tc>
        <w:tc>
          <w:tcPr>
            <w:tcW w:w="3482" w:type="dxa"/>
            <w:vAlign w:val="center"/>
          </w:tcPr>
          <w:p w14:paraId="4EA65403">
            <w:pPr>
              <w:jc w:val="center"/>
              <w:rPr>
                <w:rFonts w:hint="eastAsia" w:ascii="宋体" w:hAnsi="宋体" w:cs="宋体"/>
                <w:color w:val="4F81BD" w:themeColor="accent1"/>
                <w:kern w:val="2"/>
                <w:sz w:val="21"/>
                <w:szCs w:val="21"/>
                <w:highlight w:val="none"/>
                <w:lang w:val="en-US" w:eastAsia="zh-CN" w:bidi="ar-SA"/>
                <w14:textFill>
                  <w14:solidFill>
                    <w14:schemeClr w14:val="accent1"/>
                  </w14:solidFill>
                </w14:textFill>
              </w:rPr>
            </w:pPr>
            <w:r>
              <w:rPr>
                <w:rFonts w:hint="eastAsia" w:ascii="Arial Unicode MS" w:hAnsi="Arial Unicode MS" w:eastAsia="宋体" w:cs="Arial Unicode MS"/>
                <w:b w:val="0"/>
                <w:bCs w:val="0"/>
                <w:i w:val="0"/>
                <w:iCs w:val="0"/>
                <w:caps w:val="0"/>
                <w:smallCaps w:val="0"/>
                <w:strike w:val="0"/>
                <w:dstrike w:val="0"/>
                <w:color w:val="auto"/>
                <w:spacing w:val="0"/>
                <w:kern w:val="2"/>
                <w:position w:val="0"/>
                <w:sz w:val="21"/>
                <w:szCs w:val="21"/>
                <w:highlight w:val="none"/>
                <w:u w:val="none" w:color="000000"/>
                <w:shd w:val="clear" w:color="auto" w:fill="auto"/>
                <w:vertAlign w:val="baseline"/>
                <w:rtl w:val="0"/>
              </w:rPr>
              <w:t>兖矿能源集团股份有限公司</w:t>
            </w:r>
          </w:p>
        </w:tc>
      </w:tr>
      <w:tr w14:paraId="7AC228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50F41701">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w:t>
            </w:r>
          </w:p>
        </w:tc>
        <w:tc>
          <w:tcPr>
            <w:tcW w:w="1249" w:type="dxa"/>
            <w:vAlign w:val="center"/>
          </w:tcPr>
          <w:p w14:paraId="4B60A3B7">
            <w:pPr>
              <w:jc w:val="center"/>
              <w:rPr>
                <w:rFonts w:hint="eastAsia" w:eastAsia="宋体"/>
                <w:sz w:val="20"/>
                <w:szCs w:val="20"/>
                <w:lang w:val="en-US" w:eastAsia="zh-CN"/>
              </w:rPr>
            </w:pPr>
            <w:r>
              <w:rPr>
                <w:rFonts w:hint="eastAsia" w:ascii="宋体" w:hAnsi="宋体" w:eastAsia="宋体" w:cs="宋体"/>
                <w:color w:val="auto"/>
                <w:sz w:val="21"/>
                <w:szCs w:val="21"/>
                <w:highlight w:val="none"/>
                <w:lang w:val="en-US" w:eastAsia="zh-CN"/>
              </w:rPr>
              <w:t>尹红</w:t>
            </w:r>
          </w:p>
        </w:tc>
        <w:tc>
          <w:tcPr>
            <w:tcW w:w="3422" w:type="dxa"/>
            <w:shd w:val="clear" w:color="auto" w:fill="auto"/>
            <w:vAlign w:val="center"/>
          </w:tcPr>
          <w:p w14:paraId="1B1D53BF">
            <w:pPr>
              <w:pStyle w:val="12"/>
              <w:keepNext w:val="0"/>
              <w:keepLines w:val="0"/>
              <w:pageBreakBefore w:val="0"/>
              <w:widowControl/>
              <w:kinsoku w:val="0"/>
              <w:wordWrap/>
              <w:overflowPunct/>
              <w:topLinePunct w:val="0"/>
              <w:autoSpaceDE w:val="0"/>
              <w:autoSpaceDN w:val="0"/>
              <w:bidi w:val="0"/>
              <w:adjustRightInd w:val="0"/>
              <w:snapToGrid w:val="0"/>
              <w:spacing w:before="33" w:line="240" w:lineRule="auto"/>
              <w:ind w:left="420" w:leftChars="0"/>
              <w:jc w:val="center"/>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eastAsia="宋体" w:cs="宋体"/>
                <w:spacing w:val="4"/>
                <w:sz w:val="20"/>
                <w:szCs w:val="20"/>
                <w:lang w:val="en-US" w:eastAsia="zh-CN"/>
              </w:rPr>
              <w:t>山东蓝光软件有限公司</w:t>
            </w:r>
          </w:p>
        </w:tc>
        <w:tc>
          <w:tcPr>
            <w:tcW w:w="3482" w:type="dxa"/>
            <w:shd w:val="clear" w:color="auto" w:fill="auto"/>
            <w:vAlign w:val="center"/>
          </w:tcPr>
          <w:p w14:paraId="30BDF8F4">
            <w:pPr>
              <w:jc w:val="center"/>
              <w:rPr>
                <w:rFonts w:hint="eastAsia" w:ascii="Arial" w:hAnsi="Arial" w:eastAsia="Arial" w:cs="Arial"/>
                <w:snapToGrid w:val="0"/>
                <w:color w:val="000000"/>
                <w:kern w:val="0"/>
                <w:sz w:val="20"/>
                <w:szCs w:val="20"/>
                <w:highlight w:val="none"/>
                <w:lang w:val="en-US" w:eastAsia="zh-CN" w:bidi="ar-SA"/>
              </w:rPr>
            </w:pPr>
            <w:r>
              <w:rPr>
                <w:rFonts w:hint="eastAsia" w:ascii="宋体" w:hAnsi="宋体" w:eastAsia="宋体" w:cs="宋体"/>
                <w:snapToGrid w:val="0"/>
                <w:color w:val="000000"/>
                <w:spacing w:val="4"/>
                <w:kern w:val="0"/>
                <w:sz w:val="20"/>
                <w:szCs w:val="20"/>
                <w:lang w:val="en-US" w:eastAsia="zh-CN" w:bidi="ar-SA"/>
              </w:rPr>
              <w:t>山东蓝光软件有限公司</w:t>
            </w:r>
          </w:p>
        </w:tc>
      </w:tr>
      <w:tr w14:paraId="339229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7F4C2DD3">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4</w:t>
            </w:r>
          </w:p>
        </w:tc>
        <w:tc>
          <w:tcPr>
            <w:tcW w:w="1249" w:type="dxa"/>
            <w:vAlign w:val="center"/>
          </w:tcPr>
          <w:p w14:paraId="0339801F">
            <w:pPr>
              <w:jc w:val="center"/>
              <w:rPr>
                <w:rFonts w:hint="eastAsia" w:eastAsia="宋体"/>
                <w:sz w:val="20"/>
                <w:szCs w:val="20"/>
                <w:lang w:val="en-US" w:eastAsia="zh-CN"/>
              </w:rPr>
            </w:pPr>
            <w:r>
              <w:rPr>
                <w:rFonts w:hint="eastAsia" w:ascii="宋体" w:hAnsi="宋体" w:eastAsia="宋体" w:cs="宋体"/>
                <w:color w:val="auto"/>
                <w:sz w:val="21"/>
                <w:szCs w:val="21"/>
                <w:highlight w:val="none"/>
                <w:lang w:val="en-US" w:eastAsia="zh-CN"/>
              </w:rPr>
              <w:t>付伟</w:t>
            </w:r>
          </w:p>
        </w:tc>
        <w:tc>
          <w:tcPr>
            <w:tcW w:w="3422" w:type="dxa"/>
            <w:vAlign w:val="center"/>
          </w:tcPr>
          <w:p w14:paraId="34F1D61D">
            <w:pPr>
              <w:pStyle w:val="12"/>
              <w:keepNext w:val="0"/>
              <w:keepLines w:val="0"/>
              <w:pageBreakBefore w:val="0"/>
              <w:widowControl/>
              <w:kinsoku w:val="0"/>
              <w:wordWrap/>
              <w:overflowPunct/>
              <w:topLinePunct w:val="0"/>
              <w:autoSpaceDE w:val="0"/>
              <w:autoSpaceDN w:val="0"/>
              <w:bidi w:val="0"/>
              <w:adjustRightInd w:val="0"/>
              <w:snapToGrid w:val="0"/>
              <w:spacing w:before="33" w:line="240" w:lineRule="auto"/>
              <w:jc w:val="center"/>
              <w:textAlignment w:val="baseline"/>
              <w:rPr>
                <w:rFonts w:hint="eastAsia" w:ascii="宋体" w:hAnsi="宋体" w:eastAsia="宋体" w:cs="宋体"/>
                <w:spacing w:val="4"/>
                <w:sz w:val="20"/>
                <w:szCs w:val="20"/>
                <w:lang w:val="en-US" w:eastAsia="zh-CN"/>
              </w:rPr>
            </w:pPr>
            <w:r>
              <w:rPr>
                <w:rFonts w:hint="eastAsia" w:ascii="宋体" w:hAnsi="宋体" w:cs="宋体"/>
                <w:color w:val="auto"/>
                <w:sz w:val="21"/>
                <w:szCs w:val="21"/>
                <w:highlight w:val="none"/>
                <w:lang w:val="en-US" w:eastAsia="zh-CN"/>
              </w:rPr>
              <w:t>兖煤万福能源有限公司</w:t>
            </w:r>
          </w:p>
        </w:tc>
        <w:tc>
          <w:tcPr>
            <w:tcW w:w="3482" w:type="dxa"/>
            <w:vAlign w:val="center"/>
          </w:tcPr>
          <w:p w14:paraId="195D64AC">
            <w:pPr>
              <w:jc w:val="center"/>
              <w:rPr>
                <w:rFonts w:hint="eastAsia" w:ascii="宋体" w:hAnsi="宋体" w:cs="宋体"/>
                <w:color w:val="4F81BD" w:themeColor="accent1"/>
                <w:kern w:val="2"/>
                <w:sz w:val="21"/>
                <w:szCs w:val="21"/>
                <w:highlight w:val="none"/>
                <w:lang w:val="en-US" w:eastAsia="zh-CN" w:bidi="ar-SA"/>
                <w14:textFill>
                  <w14:solidFill>
                    <w14:schemeClr w14:val="accent1"/>
                  </w14:solidFill>
                </w14:textFill>
              </w:rPr>
            </w:pPr>
            <w:r>
              <w:rPr>
                <w:rFonts w:hint="eastAsia" w:ascii="宋体" w:hAnsi="宋体" w:cs="宋体"/>
                <w:color w:val="auto"/>
                <w:sz w:val="21"/>
                <w:szCs w:val="21"/>
                <w:highlight w:val="none"/>
                <w:lang w:val="en-US" w:eastAsia="zh-CN"/>
              </w:rPr>
              <w:t>兖矿能源集团股份有限公司</w:t>
            </w:r>
          </w:p>
        </w:tc>
      </w:tr>
      <w:tr w14:paraId="7ABEE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5FF9C334">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5</w:t>
            </w:r>
          </w:p>
        </w:tc>
        <w:tc>
          <w:tcPr>
            <w:tcW w:w="1249" w:type="dxa"/>
            <w:vAlign w:val="center"/>
          </w:tcPr>
          <w:p w14:paraId="5C84E45C">
            <w:pPr>
              <w:jc w:val="center"/>
              <w:rPr>
                <w:rFonts w:hint="eastAsia" w:eastAsia="宋体"/>
                <w:sz w:val="20"/>
                <w:szCs w:val="20"/>
                <w:lang w:val="en-US" w:eastAsia="zh-CN"/>
              </w:rPr>
            </w:pPr>
            <w:r>
              <w:rPr>
                <w:rFonts w:hint="eastAsia" w:ascii="宋体" w:hAnsi="宋体" w:eastAsia="宋体" w:cs="宋体"/>
                <w:color w:val="auto"/>
                <w:sz w:val="21"/>
                <w:szCs w:val="21"/>
                <w:highlight w:val="none"/>
                <w:lang w:val="en-US" w:eastAsia="zh-CN"/>
              </w:rPr>
              <w:t>王玉国</w:t>
            </w:r>
          </w:p>
        </w:tc>
        <w:tc>
          <w:tcPr>
            <w:tcW w:w="3422" w:type="dxa"/>
            <w:vAlign w:val="center"/>
          </w:tcPr>
          <w:p w14:paraId="0A91AD48">
            <w:pPr>
              <w:pStyle w:val="12"/>
              <w:spacing w:before="33" w:line="240" w:lineRule="auto"/>
              <w:jc w:val="center"/>
              <w:rPr>
                <w:rFonts w:hint="eastAsia" w:ascii="宋体" w:hAnsi="宋体" w:eastAsia="宋体" w:cs="宋体"/>
                <w:spacing w:val="4"/>
                <w:sz w:val="20"/>
                <w:szCs w:val="20"/>
                <w:lang w:val="en-US" w:eastAsia="zh-CN"/>
              </w:rPr>
            </w:pPr>
            <w:r>
              <w:rPr>
                <w:rFonts w:hint="eastAsia" w:ascii="宋体" w:hAnsi="宋体" w:eastAsia="宋体" w:cs="宋体"/>
                <w:color w:val="auto"/>
                <w:sz w:val="21"/>
                <w:szCs w:val="21"/>
                <w:highlight w:val="none"/>
                <w:lang w:val="en-US" w:eastAsia="zh-CN"/>
              </w:rPr>
              <w:t>中国大唐集团能源投资有限责任公司</w:t>
            </w:r>
          </w:p>
        </w:tc>
        <w:tc>
          <w:tcPr>
            <w:tcW w:w="3482" w:type="dxa"/>
            <w:vAlign w:val="center"/>
          </w:tcPr>
          <w:p w14:paraId="2C3B0B45">
            <w:pPr>
              <w:jc w:val="center"/>
              <w:rPr>
                <w:rFonts w:hint="eastAsia" w:ascii="宋体" w:hAnsi="宋体" w:cs="宋体"/>
                <w:color w:val="4F81BD" w:themeColor="accent1"/>
                <w:kern w:val="2"/>
                <w:sz w:val="21"/>
                <w:szCs w:val="21"/>
                <w:highlight w:val="none"/>
                <w:lang w:val="en-US" w:eastAsia="zh-CN" w:bidi="ar-SA"/>
                <w14:textFill>
                  <w14:solidFill>
                    <w14:schemeClr w14:val="accent1"/>
                  </w14:solidFill>
                </w14:textFill>
              </w:rPr>
            </w:pPr>
            <w:r>
              <w:rPr>
                <w:rFonts w:hint="eastAsia" w:ascii="宋体" w:hAnsi="宋体" w:eastAsia="宋体" w:cs="宋体"/>
                <w:color w:val="auto"/>
                <w:sz w:val="21"/>
                <w:szCs w:val="21"/>
                <w:highlight w:val="none"/>
                <w:lang w:val="en-US" w:eastAsia="zh-CN"/>
              </w:rPr>
              <w:t>中国大唐集团能源投资有限责任公司</w:t>
            </w:r>
          </w:p>
        </w:tc>
      </w:tr>
      <w:tr w14:paraId="52FCC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57D0ABE7">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6</w:t>
            </w:r>
          </w:p>
        </w:tc>
        <w:tc>
          <w:tcPr>
            <w:tcW w:w="1249" w:type="dxa"/>
            <w:vAlign w:val="center"/>
          </w:tcPr>
          <w:p w14:paraId="2FB55544">
            <w:pPr>
              <w:jc w:val="center"/>
              <w:rPr>
                <w:rFonts w:hint="eastAsia" w:eastAsia="宋体"/>
                <w:sz w:val="20"/>
                <w:szCs w:val="20"/>
                <w:lang w:val="en-US" w:eastAsia="zh-CN"/>
              </w:rPr>
            </w:pPr>
            <w:r>
              <w:rPr>
                <w:rFonts w:hint="eastAsia" w:ascii="Times New Roman"/>
                <w:color w:val="auto"/>
                <w:sz w:val="21"/>
                <w:highlight w:val="none"/>
                <w:lang w:val="en-US" w:eastAsia="zh-CN"/>
              </w:rPr>
              <w:t>安伟涛</w:t>
            </w:r>
          </w:p>
        </w:tc>
        <w:tc>
          <w:tcPr>
            <w:tcW w:w="3422" w:type="dxa"/>
            <w:vAlign w:val="center"/>
          </w:tcPr>
          <w:p w14:paraId="386B2336">
            <w:pPr>
              <w:pStyle w:val="12"/>
              <w:spacing w:before="33" w:line="240" w:lineRule="auto"/>
              <w:ind w:left="418"/>
              <w:jc w:val="center"/>
              <w:rPr>
                <w:rFonts w:hint="eastAsia" w:ascii="宋体" w:hAnsi="宋体" w:eastAsia="宋体" w:cs="宋体"/>
                <w:spacing w:val="4"/>
                <w:sz w:val="20"/>
                <w:szCs w:val="20"/>
                <w:lang w:val="en-US" w:eastAsia="zh-CN"/>
              </w:rPr>
            </w:pPr>
            <w:r>
              <w:rPr>
                <w:rFonts w:hint="eastAsia" w:ascii="Times New Roman"/>
                <w:color w:val="auto"/>
                <w:sz w:val="21"/>
                <w:highlight w:val="none"/>
                <w:lang w:val="en-US" w:eastAsia="zh-CN"/>
              </w:rPr>
              <w:t>国能国源电力（北京）有限公司</w:t>
            </w:r>
          </w:p>
        </w:tc>
        <w:tc>
          <w:tcPr>
            <w:tcW w:w="3482" w:type="dxa"/>
            <w:vAlign w:val="center"/>
          </w:tcPr>
          <w:p w14:paraId="0309769A">
            <w:pPr>
              <w:jc w:val="center"/>
              <w:rPr>
                <w:rFonts w:hint="eastAsia" w:ascii="宋体" w:hAnsi="宋体" w:cs="宋体"/>
                <w:color w:val="4F81BD" w:themeColor="accent1"/>
                <w:kern w:val="2"/>
                <w:sz w:val="21"/>
                <w:szCs w:val="21"/>
                <w:highlight w:val="none"/>
                <w:lang w:val="en-US" w:eastAsia="zh-CN" w:bidi="ar-SA"/>
                <w14:textFill>
                  <w14:solidFill>
                    <w14:schemeClr w14:val="accent1"/>
                  </w14:solidFill>
                </w14:textFill>
              </w:rPr>
            </w:pPr>
            <w:r>
              <w:rPr>
                <w:rFonts w:hint="eastAsia" w:ascii="宋体" w:hAnsi="宋体" w:cs="宋体"/>
                <w:color w:val="auto"/>
                <w:sz w:val="21"/>
                <w:szCs w:val="21"/>
                <w:highlight w:val="none"/>
                <w:lang w:val="en-US" w:eastAsia="zh-CN"/>
              </w:rPr>
              <w:t>陕西德源府谷能源</w:t>
            </w:r>
            <w:r>
              <w:rPr>
                <w:rFonts w:hint="eastAsia" w:ascii="宋体" w:hAnsi="宋体" w:eastAsia="宋体" w:cs="宋体"/>
                <w:color w:val="auto"/>
                <w:sz w:val="21"/>
                <w:szCs w:val="21"/>
                <w:highlight w:val="none"/>
                <w:lang w:val="en-US" w:eastAsia="zh-CN"/>
              </w:rPr>
              <w:t>有限公司</w:t>
            </w:r>
          </w:p>
        </w:tc>
      </w:tr>
      <w:tr w14:paraId="0B7D6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5894105B">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7</w:t>
            </w:r>
          </w:p>
        </w:tc>
        <w:tc>
          <w:tcPr>
            <w:tcW w:w="1249" w:type="dxa"/>
            <w:vAlign w:val="center"/>
          </w:tcPr>
          <w:p w14:paraId="61C23DA1">
            <w:pPr>
              <w:jc w:val="center"/>
              <w:rPr>
                <w:rFonts w:hint="eastAsia" w:eastAsia="宋体"/>
                <w:sz w:val="20"/>
                <w:szCs w:val="20"/>
                <w:lang w:val="en-US" w:eastAsia="zh-CN"/>
              </w:rPr>
            </w:pPr>
            <w:r>
              <w:rPr>
                <w:rFonts w:hint="eastAsia" w:ascii="宋体" w:hAnsi="宋体" w:eastAsia="宋体" w:cs="宋体"/>
                <w:color w:val="auto"/>
                <w:sz w:val="21"/>
                <w:szCs w:val="21"/>
                <w:highlight w:val="none"/>
                <w:lang w:val="en-US" w:eastAsia="zh-CN"/>
              </w:rPr>
              <w:t>聂建华</w:t>
            </w:r>
          </w:p>
        </w:tc>
        <w:tc>
          <w:tcPr>
            <w:tcW w:w="3422" w:type="dxa"/>
            <w:vAlign w:val="center"/>
          </w:tcPr>
          <w:p w14:paraId="456CFE15">
            <w:pPr>
              <w:pStyle w:val="12"/>
              <w:spacing w:before="33" w:line="240" w:lineRule="auto"/>
              <w:ind w:left="418"/>
              <w:jc w:val="center"/>
              <w:rPr>
                <w:rFonts w:hint="eastAsia" w:ascii="宋体" w:hAnsi="宋体" w:eastAsia="宋体" w:cs="宋体"/>
                <w:spacing w:val="4"/>
                <w:sz w:val="20"/>
                <w:szCs w:val="20"/>
                <w:lang w:val="en-US" w:eastAsia="zh-CN"/>
              </w:rPr>
            </w:pPr>
            <w:r>
              <w:rPr>
                <w:rFonts w:hint="eastAsia" w:ascii="宋体" w:hAnsi="宋体" w:eastAsia="宋体" w:cs="宋体"/>
                <w:color w:val="auto"/>
                <w:sz w:val="21"/>
                <w:szCs w:val="21"/>
                <w:highlight w:val="none"/>
                <w:lang w:val="en-US" w:eastAsia="zh-CN"/>
              </w:rPr>
              <w:t>贵州豫能投资有限公司</w:t>
            </w:r>
          </w:p>
        </w:tc>
        <w:tc>
          <w:tcPr>
            <w:tcW w:w="3482" w:type="dxa"/>
            <w:vAlign w:val="center"/>
          </w:tcPr>
          <w:p w14:paraId="10424AF4">
            <w:pPr>
              <w:jc w:val="center"/>
              <w:rPr>
                <w:rFonts w:hint="eastAsia" w:ascii="宋体" w:hAnsi="宋体" w:cs="宋体"/>
                <w:color w:val="4F81BD" w:themeColor="accent1"/>
                <w:kern w:val="2"/>
                <w:sz w:val="21"/>
                <w:szCs w:val="21"/>
                <w:highlight w:val="none"/>
                <w:lang w:val="en-US" w:eastAsia="zh-CN" w:bidi="ar-SA"/>
                <w14:textFill>
                  <w14:solidFill>
                    <w14:schemeClr w14:val="accent1"/>
                  </w14:solidFill>
                </w14:textFill>
              </w:rPr>
            </w:pPr>
            <w:r>
              <w:rPr>
                <w:rFonts w:hint="eastAsia" w:ascii="宋体" w:hAnsi="宋体" w:eastAsia="宋体" w:cs="宋体"/>
                <w:color w:val="auto"/>
                <w:sz w:val="21"/>
                <w:szCs w:val="21"/>
                <w:highlight w:val="none"/>
                <w:lang w:val="en-US" w:eastAsia="zh-CN"/>
              </w:rPr>
              <w:t>贵州豫能投资有限公司</w:t>
            </w:r>
          </w:p>
        </w:tc>
      </w:tr>
      <w:tr w14:paraId="3B0519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32FEEE79">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8</w:t>
            </w:r>
          </w:p>
        </w:tc>
        <w:tc>
          <w:tcPr>
            <w:tcW w:w="1249" w:type="dxa"/>
            <w:vAlign w:val="center"/>
          </w:tcPr>
          <w:p w14:paraId="5F9D5056">
            <w:pPr>
              <w:jc w:val="center"/>
              <w:rPr>
                <w:rFonts w:hint="eastAsia" w:eastAsia="宋体"/>
                <w:sz w:val="20"/>
                <w:szCs w:val="20"/>
                <w:lang w:val="en-US" w:eastAsia="zh-CN"/>
              </w:rPr>
            </w:pPr>
            <w:r>
              <w:rPr>
                <w:rFonts w:hint="eastAsia" w:ascii="Times New Roman"/>
                <w:color w:val="000000"/>
                <w:sz w:val="21"/>
                <w:lang w:val="en-US" w:eastAsia="zh-CN"/>
              </w:rPr>
              <w:t>彭延军</w:t>
            </w:r>
          </w:p>
        </w:tc>
        <w:tc>
          <w:tcPr>
            <w:tcW w:w="3422" w:type="dxa"/>
            <w:vAlign w:val="center"/>
          </w:tcPr>
          <w:p w14:paraId="69CA57AA">
            <w:pPr>
              <w:pStyle w:val="12"/>
              <w:spacing w:before="33" w:line="240" w:lineRule="auto"/>
              <w:ind w:left="418"/>
              <w:jc w:val="center"/>
              <w:rPr>
                <w:rFonts w:hint="eastAsia" w:ascii="宋体" w:hAnsi="宋体" w:eastAsia="宋体" w:cs="宋体"/>
                <w:spacing w:val="4"/>
                <w:sz w:val="20"/>
                <w:szCs w:val="20"/>
                <w:lang w:val="en-US" w:eastAsia="zh-CN"/>
              </w:rPr>
            </w:pPr>
            <w:r>
              <w:rPr>
                <w:rFonts w:hint="eastAsia" w:ascii="Times New Roman"/>
                <w:color w:val="000000"/>
                <w:sz w:val="21"/>
                <w:lang w:val="en-US" w:eastAsia="zh-CN"/>
              </w:rPr>
              <w:t>山东科技大学</w:t>
            </w:r>
          </w:p>
        </w:tc>
        <w:tc>
          <w:tcPr>
            <w:tcW w:w="3482" w:type="dxa"/>
            <w:vAlign w:val="center"/>
          </w:tcPr>
          <w:p w14:paraId="2208C39E">
            <w:pPr>
              <w:jc w:val="center"/>
              <w:rPr>
                <w:rFonts w:hint="eastAsia" w:ascii="宋体" w:hAnsi="宋体" w:cs="宋体"/>
                <w:color w:val="4F81BD" w:themeColor="accent1"/>
                <w:kern w:val="2"/>
                <w:sz w:val="21"/>
                <w:szCs w:val="21"/>
                <w:highlight w:val="none"/>
                <w:lang w:val="en-US" w:eastAsia="zh-CN" w:bidi="ar-SA"/>
                <w14:textFill>
                  <w14:solidFill>
                    <w14:schemeClr w14:val="accent1"/>
                  </w14:solidFill>
                </w14:textFill>
              </w:rPr>
            </w:pPr>
            <w:r>
              <w:rPr>
                <w:rFonts w:hint="eastAsia" w:ascii="Times New Roman"/>
                <w:color w:val="000000"/>
                <w:sz w:val="21"/>
                <w:lang w:val="en-US" w:eastAsia="zh-CN"/>
              </w:rPr>
              <w:t>山东科技大学</w:t>
            </w:r>
          </w:p>
        </w:tc>
      </w:tr>
      <w:tr w14:paraId="08D68C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35A0636C">
            <w:pPr>
              <w:spacing w:before="67" w:line="240" w:lineRule="auto"/>
              <w:ind w:left="298"/>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9</w:t>
            </w:r>
          </w:p>
        </w:tc>
        <w:tc>
          <w:tcPr>
            <w:tcW w:w="1249" w:type="dxa"/>
            <w:vAlign w:val="center"/>
          </w:tcPr>
          <w:p w14:paraId="24161A86">
            <w:pPr>
              <w:jc w:val="center"/>
              <w:rPr>
                <w:rFonts w:hint="eastAsia" w:eastAsia="宋体"/>
                <w:sz w:val="20"/>
                <w:szCs w:val="20"/>
                <w:lang w:val="en-US" w:eastAsia="zh-CN"/>
              </w:rPr>
            </w:pPr>
            <w:r>
              <w:rPr>
                <w:rFonts w:hint="eastAsia" w:ascii="宋体" w:hAnsi="宋体" w:cs="宋体"/>
                <w:color w:val="auto"/>
                <w:sz w:val="21"/>
                <w:szCs w:val="21"/>
                <w:highlight w:val="none"/>
                <w:lang w:val="en-US" w:eastAsia="zh-CN"/>
              </w:rPr>
              <w:t>王智欣</w:t>
            </w:r>
          </w:p>
        </w:tc>
        <w:tc>
          <w:tcPr>
            <w:tcW w:w="3422" w:type="dxa"/>
            <w:vAlign w:val="center"/>
          </w:tcPr>
          <w:p w14:paraId="0F6A6C7D">
            <w:pPr>
              <w:pStyle w:val="12"/>
              <w:spacing w:before="33" w:line="240" w:lineRule="auto"/>
              <w:ind w:left="418"/>
              <w:jc w:val="center"/>
              <w:rPr>
                <w:rFonts w:hint="eastAsia" w:ascii="宋体" w:hAnsi="宋体" w:eastAsia="宋体" w:cs="宋体"/>
                <w:spacing w:val="4"/>
                <w:sz w:val="20"/>
                <w:szCs w:val="20"/>
                <w:lang w:val="en-US" w:eastAsia="zh-CN"/>
              </w:rPr>
            </w:pPr>
            <w:r>
              <w:rPr>
                <w:rFonts w:hint="eastAsia" w:ascii="宋体" w:hAnsi="宋体" w:cs="宋体"/>
                <w:color w:val="auto"/>
                <w:sz w:val="21"/>
                <w:szCs w:val="21"/>
                <w:highlight w:val="none"/>
                <w:lang w:val="en-US" w:eastAsia="zh-CN"/>
              </w:rPr>
              <w:t>陕西德源府谷能源</w:t>
            </w:r>
            <w:r>
              <w:rPr>
                <w:rFonts w:hint="eastAsia" w:ascii="宋体" w:hAnsi="宋体" w:eastAsia="宋体" w:cs="宋体"/>
                <w:color w:val="auto"/>
                <w:sz w:val="21"/>
                <w:szCs w:val="21"/>
                <w:highlight w:val="none"/>
                <w:lang w:val="en-US" w:eastAsia="zh-CN"/>
              </w:rPr>
              <w:t>有限公司</w:t>
            </w:r>
          </w:p>
        </w:tc>
        <w:tc>
          <w:tcPr>
            <w:tcW w:w="3482" w:type="dxa"/>
            <w:vAlign w:val="center"/>
          </w:tcPr>
          <w:p w14:paraId="50A6E996">
            <w:pPr>
              <w:jc w:val="center"/>
              <w:rPr>
                <w:rFonts w:hint="eastAsia" w:ascii="宋体" w:hAnsi="宋体" w:cs="宋体"/>
                <w:color w:val="4F81BD" w:themeColor="accent1"/>
                <w:kern w:val="2"/>
                <w:sz w:val="21"/>
                <w:szCs w:val="21"/>
                <w:highlight w:val="none"/>
                <w:lang w:val="en-US" w:eastAsia="zh-CN" w:bidi="ar-SA"/>
                <w14:textFill>
                  <w14:solidFill>
                    <w14:schemeClr w14:val="accent1"/>
                  </w14:solidFill>
                </w14:textFill>
              </w:rPr>
            </w:pPr>
            <w:r>
              <w:rPr>
                <w:rFonts w:hint="eastAsia" w:ascii="宋体" w:hAnsi="宋体" w:cs="宋体"/>
                <w:color w:val="auto"/>
                <w:sz w:val="21"/>
                <w:szCs w:val="21"/>
                <w:highlight w:val="none"/>
                <w:lang w:val="en-US" w:eastAsia="zh-CN"/>
              </w:rPr>
              <w:t>陕西德源府谷能源</w:t>
            </w:r>
            <w:r>
              <w:rPr>
                <w:rFonts w:hint="eastAsia" w:ascii="宋体" w:hAnsi="宋体" w:eastAsia="宋体" w:cs="宋体"/>
                <w:color w:val="auto"/>
                <w:sz w:val="21"/>
                <w:szCs w:val="21"/>
                <w:highlight w:val="none"/>
                <w:lang w:val="en-US" w:eastAsia="zh-CN"/>
              </w:rPr>
              <w:t>有限公司</w:t>
            </w:r>
          </w:p>
        </w:tc>
      </w:tr>
      <w:tr w14:paraId="5EE226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59B5C97E">
            <w:pPr>
              <w:spacing w:before="67" w:line="240" w:lineRule="auto"/>
              <w:ind w:left="29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10</w:t>
            </w:r>
          </w:p>
        </w:tc>
        <w:tc>
          <w:tcPr>
            <w:tcW w:w="1249" w:type="dxa"/>
            <w:vAlign w:val="center"/>
          </w:tcPr>
          <w:p w14:paraId="712634BA">
            <w:pPr>
              <w:jc w:val="center"/>
              <w:rPr>
                <w:rFonts w:hint="eastAsia" w:eastAsia="宋体"/>
                <w:sz w:val="20"/>
                <w:szCs w:val="20"/>
                <w:lang w:val="en-US" w:eastAsia="zh-CN"/>
              </w:rPr>
            </w:pPr>
            <w:r>
              <w:rPr>
                <w:rFonts w:hint="eastAsia" w:ascii="Times New Roman"/>
                <w:color w:val="auto"/>
                <w:sz w:val="21"/>
                <w:highlight w:val="none"/>
                <w:lang w:val="en-US" w:eastAsia="zh-CN"/>
              </w:rPr>
              <w:t>闫尚彬</w:t>
            </w:r>
          </w:p>
        </w:tc>
        <w:tc>
          <w:tcPr>
            <w:tcW w:w="3422" w:type="dxa"/>
            <w:vAlign w:val="center"/>
          </w:tcPr>
          <w:p w14:paraId="3407A786">
            <w:pPr>
              <w:pStyle w:val="12"/>
              <w:spacing w:before="33" w:line="240" w:lineRule="auto"/>
              <w:ind w:left="418"/>
              <w:jc w:val="center"/>
              <w:rPr>
                <w:rFonts w:hint="eastAsia" w:ascii="宋体" w:hAnsi="宋体" w:eastAsia="宋体" w:cs="宋体"/>
                <w:spacing w:val="4"/>
                <w:sz w:val="20"/>
                <w:szCs w:val="20"/>
                <w:lang w:val="en-US" w:eastAsia="zh-CN"/>
              </w:rPr>
            </w:pPr>
            <w:r>
              <w:rPr>
                <w:rFonts w:hint="eastAsia" w:ascii="Times New Roman"/>
                <w:color w:val="auto"/>
                <w:sz w:val="21"/>
                <w:highlight w:val="none"/>
                <w:lang w:val="en-US" w:eastAsia="zh-CN"/>
              </w:rPr>
              <w:t>中煤陕西榆林能源化工有限公司</w:t>
            </w:r>
          </w:p>
        </w:tc>
        <w:tc>
          <w:tcPr>
            <w:tcW w:w="3482" w:type="dxa"/>
            <w:vAlign w:val="center"/>
          </w:tcPr>
          <w:p w14:paraId="2D6908A0">
            <w:pPr>
              <w:jc w:val="center"/>
              <w:rPr>
                <w:rFonts w:hint="eastAsia" w:ascii="宋体" w:hAnsi="宋体" w:cs="宋体"/>
                <w:color w:val="4F81BD" w:themeColor="accent1"/>
                <w:kern w:val="2"/>
                <w:sz w:val="21"/>
                <w:szCs w:val="21"/>
                <w:highlight w:val="none"/>
                <w:lang w:val="en-US" w:eastAsia="zh-CN" w:bidi="ar-SA"/>
                <w14:textFill>
                  <w14:solidFill>
                    <w14:schemeClr w14:val="accent1"/>
                  </w14:solidFill>
                </w14:textFill>
              </w:rPr>
            </w:pPr>
            <w:r>
              <w:rPr>
                <w:rFonts w:hint="eastAsia" w:ascii="Times New Roman"/>
                <w:color w:val="auto"/>
                <w:sz w:val="21"/>
                <w:highlight w:val="none"/>
                <w:lang w:val="en-US" w:eastAsia="zh-CN"/>
              </w:rPr>
              <w:t>中煤陕西榆林能源化工有限公司</w:t>
            </w:r>
          </w:p>
        </w:tc>
      </w:tr>
      <w:tr w14:paraId="5F3793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4637DCCD">
            <w:pPr>
              <w:spacing w:before="67" w:line="240" w:lineRule="auto"/>
              <w:ind w:left="29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11</w:t>
            </w:r>
          </w:p>
        </w:tc>
        <w:tc>
          <w:tcPr>
            <w:tcW w:w="1249" w:type="dxa"/>
            <w:shd w:val="clear" w:color="auto" w:fill="auto"/>
            <w:vAlign w:val="center"/>
          </w:tcPr>
          <w:p w14:paraId="5F4EFFAD">
            <w:pPr>
              <w:keepLines w:val="0"/>
              <w:pageBreakBefore w:val="0"/>
              <w:widowControl w:val="0"/>
              <w:kinsoku/>
              <w:wordWrap/>
              <w:overflowPunct/>
              <w:topLinePunct w:val="0"/>
              <w:bidi w:val="0"/>
              <w:spacing w:after="0" w:line="220" w:lineRule="exact"/>
              <w:ind w:firstLine="0" w:firstLineChars="0"/>
              <w:jc w:val="center"/>
              <w:textAlignment w:val="auto"/>
              <w:rPr>
                <w:rFonts w:hint="eastAsia" w:ascii="宋体" w:hAnsi="宋体" w:eastAsia="宋体" w:cs="宋体"/>
                <w:snapToGrid w:val="0"/>
                <w:color w:val="auto"/>
                <w:kern w:val="0"/>
                <w:sz w:val="21"/>
                <w:szCs w:val="21"/>
                <w:highlight w:val="none"/>
                <w:lang w:val="en-US" w:eastAsia="zh-CN" w:bidi="ar-SA"/>
                <w14:ligatures w14:val="none"/>
              </w:rPr>
            </w:pPr>
            <w:r>
              <w:rPr>
                <w:rFonts w:hint="eastAsia" w:ascii="宋体" w:hAnsi="宋体" w:eastAsia="宋体" w:cs="宋体"/>
                <w:color w:val="auto"/>
                <w:sz w:val="21"/>
                <w:szCs w:val="21"/>
                <w:highlight w:val="none"/>
                <w:lang w:val="en-US" w:eastAsia="zh-CN"/>
                <w14:ligatures w14:val="none"/>
              </w:rPr>
              <w:t>宋海洲</w:t>
            </w:r>
          </w:p>
        </w:tc>
        <w:tc>
          <w:tcPr>
            <w:tcW w:w="3422" w:type="dxa"/>
            <w:vAlign w:val="center"/>
          </w:tcPr>
          <w:p w14:paraId="3D196540">
            <w:pPr>
              <w:pStyle w:val="12"/>
              <w:spacing w:before="33" w:line="240" w:lineRule="auto"/>
              <w:jc w:val="center"/>
              <w:rPr>
                <w:rFonts w:hint="eastAsia" w:ascii="宋体" w:hAnsi="宋体" w:eastAsia="宋体" w:cs="宋体"/>
                <w:spacing w:val="4"/>
                <w:sz w:val="20"/>
                <w:szCs w:val="20"/>
                <w:lang w:val="en-US" w:eastAsia="zh-CN"/>
              </w:rPr>
            </w:pPr>
            <w:r>
              <w:rPr>
                <w:rFonts w:hint="eastAsia" w:ascii="宋体" w:hAnsi="宋体" w:eastAsia="宋体" w:cs="宋体"/>
                <w:color w:val="auto"/>
                <w:sz w:val="21"/>
                <w:szCs w:val="21"/>
                <w:highlight w:val="none"/>
              </w:rPr>
              <w:t>兖矿能源集团股份有限公司</w:t>
            </w:r>
          </w:p>
        </w:tc>
        <w:tc>
          <w:tcPr>
            <w:tcW w:w="3482" w:type="dxa"/>
            <w:vAlign w:val="center"/>
          </w:tcPr>
          <w:p w14:paraId="707C85DE">
            <w:pPr>
              <w:jc w:val="center"/>
              <w:rPr>
                <w:rFonts w:hint="eastAsia" w:ascii="宋体" w:hAnsi="宋体" w:cs="宋体"/>
                <w:color w:val="4F81BD" w:themeColor="accent1"/>
                <w:kern w:val="2"/>
                <w:sz w:val="21"/>
                <w:szCs w:val="21"/>
                <w:highlight w:val="none"/>
                <w:lang w:val="en-US" w:eastAsia="zh-CN" w:bidi="ar-SA"/>
                <w14:textFill>
                  <w14:solidFill>
                    <w14:schemeClr w14:val="accent1"/>
                  </w14:solidFill>
                </w14:textFill>
              </w:rPr>
            </w:pPr>
            <w:r>
              <w:rPr>
                <w:rFonts w:hint="eastAsia" w:ascii="宋体" w:hAnsi="宋体" w:eastAsia="宋体" w:cs="宋体"/>
                <w:color w:val="auto"/>
                <w:sz w:val="21"/>
                <w:szCs w:val="21"/>
                <w:highlight w:val="none"/>
              </w:rPr>
              <w:t>兖矿能源集团股份有限公司</w:t>
            </w:r>
          </w:p>
        </w:tc>
      </w:tr>
      <w:tr w14:paraId="0A28E4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3604DB1C">
            <w:pPr>
              <w:spacing w:before="67" w:line="240" w:lineRule="auto"/>
              <w:ind w:left="29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12</w:t>
            </w:r>
          </w:p>
        </w:tc>
        <w:tc>
          <w:tcPr>
            <w:tcW w:w="1249" w:type="dxa"/>
            <w:vAlign w:val="center"/>
          </w:tcPr>
          <w:p w14:paraId="372B1DA9">
            <w:pPr>
              <w:jc w:val="center"/>
              <w:rPr>
                <w:rFonts w:hint="eastAsia" w:eastAsia="宋体"/>
                <w:sz w:val="20"/>
                <w:szCs w:val="20"/>
                <w:lang w:val="en-US" w:eastAsia="zh-CN"/>
              </w:rPr>
            </w:pPr>
            <w:r>
              <w:rPr>
                <w:rFonts w:hint="eastAsia" w:ascii="宋体" w:hAnsi="宋体" w:eastAsia="宋体" w:cs="宋体"/>
                <w:color w:val="auto"/>
                <w:sz w:val="21"/>
                <w:szCs w:val="21"/>
                <w:highlight w:val="none"/>
              </w:rPr>
              <w:t>李静</w:t>
            </w:r>
          </w:p>
        </w:tc>
        <w:tc>
          <w:tcPr>
            <w:tcW w:w="3422" w:type="dxa"/>
            <w:vAlign w:val="center"/>
          </w:tcPr>
          <w:p w14:paraId="67F66CE6">
            <w:pPr>
              <w:pStyle w:val="12"/>
              <w:spacing w:before="33" w:line="240" w:lineRule="auto"/>
              <w:ind w:left="418"/>
              <w:jc w:val="center"/>
              <w:rPr>
                <w:rFonts w:hint="eastAsia" w:ascii="宋体" w:hAnsi="宋体" w:eastAsia="宋体" w:cs="宋体"/>
                <w:spacing w:val="4"/>
                <w:sz w:val="20"/>
                <w:szCs w:val="20"/>
                <w:lang w:val="en-US" w:eastAsia="zh-CN"/>
              </w:rPr>
            </w:pPr>
            <w:r>
              <w:rPr>
                <w:rFonts w:hint="eastAsia" w:ascii="宋体" w:hAnsi="宋体" w:eastAsia="宋体" w:cs="宋体"/>
                <w:color w:val="auto"/>
                <w:sz w:val="21"/>
                <w:szCs w:val="21"/>
                <w:highlight w:val="none"/>
              </w:rPr>
              <w:t>山东蓝光软件有限公司</w:t>
            </w:r>
          </w:p>
        </w:tc>
        <w:tc>
          <w:tcPr>
            <w:tcW w:w="3482" w:type="dxa"/>
            <w:vAlign w:val="center"/>
          </w:tcPr>
          <w:p w14:paraId="504FB8B0">
            <w:pPr>
              <w:jc w:val="center"/>
              <w:rPr>
                <w:rFonts w:hint="eastAsia" w:ascii="宋体" w:hAnsi="宋体" w:cs="宋体"/>
                <w:color w:val="4F81BD" w:themeColor="accent1"/>
                <w:kern w:val="2"/>
                <w:sz w:val="21"/>
                <w:szCs w:val="21"/>
                <w:highlight w:val="none"/>
                <w:lang w:val="en-US" w:eastAsia="zh-CN" w:bidi="ar-SA"/>
                <w14:textFill>
                  <w14:solidFill>
                    <w14:schemeClr w14:val="accent1"/>
                  </w14:solidFill>
                </w14:textFill>
              </w:rPr>
            </w:pPr>
            <w:r>
              <w:rPr>
                <w:rFonts w:hint="eastAsia" w:ascii="宋体" w:hAnsi="宋体" w:eastAsia="宋体" w:cs="宋体"/>
                <w:color w:val="auto"/>
                <w:sz w:val="21"/>
                <w:szCs w:val="21"/>
                <w:highlight w:val="none"/>
              </w:rPr>
              <w:t>山东蓝光软件有限公司</w:t>
            </w:r>
          </w:p>
        </w:tc>
      </w:tr>
      <w:tr w14:paraId="38E77A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110B0786">
            <w:pPr>
              <w:spacing w:before="67" w:line="240" w:lineRule="auto"/>
              <w:ind w:left="29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13</w:t>
            </w:r>
          </w:p>
        </w:tc>
        <w:tc>
          <w:tcPr>
            <w:tcW w:w="1249" w:type="dxa"/>
            <w:vAlign w:val="center"/>
          </w:tcPr>
          <w:p w14:paraId="2D0A2E0F">
            <w:pPr>
              <w:jc w:val="center"/>
              <w:rPr>
                <w:rFonts w:hint="eastAsia" w:eastAsia="宋体"/>
                <w:sz w:val="20"/>
                <w:szCs w:val="20"/>
                <w:lang w:val="en-US" w:eastAsia="zh-CN"/>
              </w:rPr>
            </w:pPr>
            <w:r>
              <w:rPr>
                <w:rFonts w:hint="eastAsia" w:ascii="宋体" w:hAnsi="宋体" w:eastAsia="宋体" w:cs="宋体"/>
                <w:color w:val="auto"/>
                <w:sz w:val="21"/>
                <w:highlight w:val="none"/>
              </w:rPr>
              <w:t>崔波</w:t>
            </w:r>
          </w:p>
        </w:tc>
        <w:tc>
          <w:tcPr>
            <w:tcW w:w="3422" w:type="dxa"/>
            <w:shd w:val="clear" w:color="auto" w:fill="auto"/>
            <w:vAlign w:val="center"/>
          </w:tcPr>
          <w:p w14:paraId="4BD1C34B">
            <w:pPr>
              <w:pStyle w:val="12"/>
              <w:spacing w:before="33" w:line="240" w:lineRule="auto"/>
              <w:ind w:left="418" w:leftChars="0"/>
              <w:jc w:val="center"/>
              <w:rPr>
                <w:rFonts w:hint="eastAsia" w:ascii="宋体" w:hAnsi="宋体" w:eastAsia="宋体" w:cs="宋体"/>
                <w:snapToGrid w:val="0"/>
                <w:color w:val="000000"/>
                <w:spacing w:val="4"/>
                <w:kern w:val="0"/>
                <w:sz w:val="20"/>
                <w:szCs w:val="20"/>
                <w:lang w:val="en-US" w:eastAsia="zh-CN" w:bidi="ar-SA"/>
              </w:rPr>
            </w:pPr>
            <w:r>
              <w:rPr>
                <w:rFonts w:hint="eastAsia" w:ascii="宋体" w:hAnsi="宋体" w:eastAsia="宋体" w:cs="宋体"/>
                <w:color w:val="auto"/>
                <w:sz w:val="21"/>
                <w:szCs w:val="21"/>
                <w:highlight w:val="none"/>
              </w:rPr>
              <w:t>山东蓝光软件有限公司</w:t>
            </w:r>
          </w:p>
        </w:tc>
        <w:tc>
          <w:tcPr>
            <w:tcW w:w="3482" w:type="dxa"/>
            <w:shd w:val="clear" w:color="auto" w:fill="auto"/>
            <w:vAlign w:val="center"/>
          </w:tcPr>
          <w:p w14:paraId="4FC42EF2">
            <w:pPr>
              <w:jc w:val="center"/>
              <w:rPr>
                <w:rFonts w:hint="eastAsia" w:ascii="宋体" w:hAnsi="宋体" w:eastAsia="Arial" w:cs="宋体"/>
                <w:snapToGrid w:val="0"/>
                <w:color w:val="4F81BD" w:themeColor="accent1"/>
                <w:kern w:val="2"/>
                <w:sz w:val="21"/>
                <w:szCs w:val="21"/>
                <w:highlight w:val="none"/>
                <w:lang w:val="en-US" w:eastAsia="zh-CN" w:bidi="ar-SA"/>
                <w14:textFill>
                  <w14:solidFill>
                    <w14:schemeClr w14:val="accent1"/>
                  </w14:solidFill>
                </w14:textFill>
              </w:rPr>
            </w:pPr>
            <w:r>
              <w:rPr>
                <w:rFonts w:hint="eastAsia" w:ascii="宋体" w:hAnsi="宋体" w:eastAsia="宋体" w:cs="宋体"/>
                <w:color w:val="auto"/>
                <w:sz w:val="21"/>
                <w:szCs w:val="21"/>
                <w:highlight w:val="none"/>
              </w:rPr>
              <w:t>山东蓝光软件有限公司</w:t>
            </w:r>
          </w:p>
        </w:tc>
      </w:tr>
      <w:tr w14:paraId="30932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660" w:type="dxa"/>
            <w:vAlign w:val="top"/>
          </w:tcPr>
          <w:p w14:paraId="40C1A967">
            <w:pPr>
              <w:spacing w:before="203" w:line="240" w:lineRule="auto"/>
              <w:ind w:left="28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14</w:t>
            </w:r>
          </w:p>
        </w:tc>
        <w:tc>
          <w:tcPr>
            <w:tcW w:w="1249" w:type="dxa"/>
            <w:vAlign w:val="center"/>
          </w:tcPr>
          <w:p w14:paraId="3E95A893">
            <w:pPr>
              <w:jc w:val="center"/>
              <w:rPr>
                <w:rFonts w:hint="eastAsia" w:eastAsia="宋体"/>
                <w:sz w:val="20"/>
                <w:szCs w:val="20"/>
                <w:lang w:val="en-US" w:eastAsia="zh-CN"/>
              </w:rPr>
            </w:pPr>
            <w:r>
              <w:rPr>
                <w:rFonts w:hint="eastAsia" w:eastAsia="宋体"/>
                <w:sz w:val="20"/>
                <w:szCs w:val="20"/>
                <w:lang w:val="en-US" w:eastAsia="zh-CN"/>
              </w:rPr>
              <w:t>于爱青</w:t>
            </w:r>
          </w:p>
        </w:tc>
        <w:tc>
          <w:tcPr>
            <w:tcW w:w="3422" w:type="dxa"/>
            <w:shd w:val="clear" w:color="auto" w:fill="auto"/>
            <w:vAlign w:val="center"/>
          </w:tcPr>
          <w:p w14:paraId="604EA9AB">
            <w:pPr>
              <w:pStyle w:val="12"/>
              <w:spacing w:before="33" w:line="240" w:lineRule="auto"/>
              <w:ind w:left="418" w:leftChars="0"/>
              <w:jc w:val="center"/>
              <w:rPr>
                <w:rFonts w:hint="eastAsia" w:ascii="宋体" w:hAnsi="宋体" w:eastAsia="宋体" w:cs="宋体"/>
                <w:snapToGrid w:val="0"/>
                <w:color w:val="000000"/>
                <w:spacing w:val="4"/>
                <w:kern w:val="0"/>
                <w:sz w:val="20"/>
                <w:szCs w:val="20"/>
                <w:lang w:val="en-US" w:eastAsia="zh-CN" w:bidi="ar-SA"/>
              </w:rPr>
            </w:pPr>
            <w:r>
              <w:rPr>
                <w:rFonts w:hint="eastAsia" w:ascii="宋体" w:hAnsi="宋体" w:eastAsia="宋体" w:cs="宋体"/>
                <w:color w:val="auto"/>
                <w:sz w:val="21"/>
                <w:szCs w:val="21"/>
                <w:highlight w:val="none"/>
              </w:rPr>
              <w:t>山东蓝光软件有限公司</w:t>
            </w:r>
          </w:p>
        </w:tc>
        <w:tc>
          <w:tcPr>
            <w:tcW w:w="3482" w:type="dxa"/>
            <w:shd w:val="clear" w:color="auto" w:fill="auto"/>
            <w:vAlign w:val="center"/>
          </w:tcPr>
          <w:p w14:paraId="7CF13870">
            <w:pPr>
              <w:jc w:val="center"/>
              <w:rPr>
                <w:rFonts w:hint="eastAsia" w:ascii="宋体" w:hAnsi="宋体" w:eastAsia="Arial" w:cs="宋体"/>
                <w:snapToGrid w:val="0"/>
                <w:color w:val="4F81BD" w:themeColor="accent1"/>
                <w:kern w:val="2"/>
                <w:sz w:val="21"/>
                <w:szCs w:val="21"/>
                <w:highlight w:val="none"/>
                <w:lang w:val="en-US" w:eastAsia="zh-CN" w:bidi="ar-SA"/>
                <w14:textFill>
                  <w14:solidFill>
                    <w14:schemeClr w14:val="accent1"/>
                  </w14:solidFill>
                </w14:textFill>
              </w:rPr>
            </w:pPr>
            <w:r>
              <w:rPr>
                <w:rFonts w:hint="eastAsia" w:ascii="宋体" w:hAnsi="宋体" w:eastAsia="宋体" w:cs="宋体"/>
                <w:color w:val="auto"/>
                <w:sz w:val="21"/>
                <w:szCs w:val="21"/>
                <w:highlight w:val="none"/>
              </w:rPr>
              <w:t>山东蓝光软件有限公司</w:t>
            </w:r>
          </w:p>
        </w:tc>
      </w:tr>
      <w:tr w14:paraId="5F9878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8813" w:type="dxa"/>
            <w:gridSpan w:val="4"/>
            <w:vAlign w:val="top"/>
          </w:tcPr>
          <w:p w14:paraId="10B9FBC9">
            <w:pPr>
              <w:pStyle w:val="12"/>
              <w:spacing w:before="146" w:line="240" w:lineRule="auto"/>
              <w:ind w:left="3643"/>
              <w:rPr>
                <w:sz w:val="20"/>
                <w:szCs w:val="20"/>
              </w:rPr>
            </w:pPr>
            <w:r>
              <w:rPr>
                <w:spacing w:val="7"/>
                <w:sz w:val="20"/>
                <w:szCs w:val="20"/>
              </w:rPr>
              <w:t>主要完成单位</w:t>
            </w:r>
          </w:p>
        </w:tc>
      </w:tr>
      <w:tr w14:paraId="15E865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7AC70278">
            <w:pPr>
              <w:pStyle w:val="12"/>
              <w:spacing w:before="35" w:line="240" w:lineRule="auto"/>
              <w:ind w:left="126"/>
              <w:rPr>
                <w:sz w:val="20"/>
                <w:szCs w:val="20"/>
              </w:rPr>
            </w:pPr>
            <w:r>
              <w:rPr>
                <w:spacing w:val="4"/>
                <w:sz w:val="20"/>
                <w:szCs w:val="20"/>
              </w:rPr>
              <w:t>排名</w:t>
            </w:r>
          </w:p>
        </w:tc>
        <w:tc>
          <w:tcPr>
            <w:tcW w:w="8153" w:type="dxa"/>
            <w:gridSpan w:val="3"/>
            <w:vAlign w:val="top"/>
          </w:tcPr>
          <w:p w14:paraId="48B7D098">
            <w:pPr>
              <w:pStyle w:val="12"/>
              <w:spacing w:before="35" w:line="240" w:lineRule="auto"/>
              <w:ind w:left="3521"/>
              <w:rPr>
                <w:sz w:val="20"/>
                <w:szCs w:val="20"/>
              </w:rPr>
            </w:pPr>
            <w:r>
              <w:rPr>
                <w:spacing w:val="6"/>
                <w:sz w:val="20"/>
                <w:szCs w:val="20"/>
              </w:rPr>
              <w:t>单位名称</w:t>
            </w:r>
          </w:p>
        </w:tc>
      </w:tr>
      <w:tr w14:paraId="35F5B8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 w:hRule="atLeast"/>
        </w:trPr>
        <w:tc>
          <w:tcPr>
            <w:tcW w:w="660" w:type="dxa"/>
            <w:vAlign w:val="top"/>
          </w:tcPr>
          <w:p w14:paraId="32FED463">
            <w:pPr>
              <w:spacing w:before="70" w:line="240" w:lineRule="auto"/>
              <w:ind w:left="298"/>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8153" w:type="dxa"/>
            <w:gridSpan w:val="3"/>
            <w:vAlign w:val="top"/>
          </w:tcPr>
          <w:p w14:paraId="77CF4984">
            <w:pPr>
              <w:pStyle w:val="12"/>
              <w:spacing w:before="35" w:line="240" w:lineRule="auto"/>
              <w:ind w:left="2909"/>
              <w:jc w:val="both"/>
              <w:rPr>
                <w:sz w:val="20"/>
                <w:szCs w:val="20"/>
              </w:rPr>
            </w:pPr>
            <w:r>
              <w:rPr>
                <w:rFonts w:hint="eastAsia"/>
                <w:sz w:val="20"/>
                <w:szCs w:val="20"/>
              </w:rPr>
              <w:t>山东蓝光软件有限公司</w:t>
            </w:r>
          </w:p>
        </w:tc>
      </w:tr>
      <w:tr w14:paraId="5BC1F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4E4B2617">
            <w:pPr>
              <w:spacing w:before="88" w:line="240" w:lineRule="auto"/>
              <w:ind w:left="27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w:t>
            </w:r>
          </w:p>
        </w:tc>
        <w:tc>
          <w:tcPr>
            <w:tcW w:w="8153" w:type="dxa"/>
            <w:gridSpan w:val="3"/>
            <w:vAlign w:val="top"/>
          </w:tcPr>
          <w:p w14:paraId="6E8B0AD1">
            <w:pPr>
              <w:pStyle w:val="12"/>
              <w:spacing w:before="35" w:line="240" w:lineRule="auto"/>
              <w:ind w:left="2909"/>
              <w:jc w:val="both"/>
              <w:rPr>
                <w:sz w:val="20"/>
                <w:szCs w:val="20"/>
              </w:rPr>
            </w:pPr>
            <w:r>
              <w:rPr>
                <w:rFonts w:hint="eastAsia"/>
                <w:sz w:val="20"/>
                <w:szCs w:val="20"/>
              </w:rPr>
              <w:t>兖矿能源集团股份有限公司</w:t>
            </w:r>
          </w:p>
        </w:tc>
      </w:tr>
      <w:tr w14:paraId="55878B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535617E4">
            <w:pPr>
              <w:spacing w:before="88" w:line="240" w:lineRule="auto"/>
              <w:ind w:left="27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w:t>
            </w:r>
          </w:p>
        </w:tc>
        <w:tc>
          <w:tcPr>
            <w:tcW w:w="8153" w:type="dxa"/>
            <w:gridSpan w:val="3"/>
            <w:vAlign w:val="top"/>
          </w:tcPr>
          <w:p w14:paraId="058152E2">
            <w:pPr>
              <w:pStyle w:val="12"/>
              <w:spacing w:before="35" w:line="240" w:lineRule="auto"/>
              <w:ind w:left="2909"/>
              <w:jc w:val="both"/>
              <w:rPr>
                <w:sz w:val="20"/>
                <w:szCs w:val="20"/>
              </w:rPr>
            </w:pPr>
            <w:r>
              <w:rPr>
                <w:rFonts w:hint="eastAsia"/>
                <w:sz w:val="20"/>
                <w:szCs w:val="20"/>
              </w:rPr>
              <w:t>山东科技大学</w:t>
            </w:r>
          </w:p>
        </w:tc>
      </w:tr>
      <w:tr w14:paraId="1A46EE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217F3BD3">
            <w:pPr>
              <w:spacing w:before="88" w:line="240" w:lineRule="auto"/>
              <w:ind w:left="27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4</w:t>
            </w:r>
          </w:p>
        </w:tc>
        <w:tc>
          <w:tcPr>
            <w:tcW w:w="8153" w:type="dxa"/>
            <w:gridSpan w:val="3"/>
            <w:vAlign w:val="top"/>
          </w:tcPr>
          <w:p w14:paraId="7F3CD6B0">
            <w:pPr>
              <w:pStyle w:val="12"/>
              <w:spacing w:before="35" w:line="240" w:lineRule="auto"/>
              <w:ind w:left="2909"/>
              <w:jc w:val="both"/>
              <w:rPr>
                <w:sz w:val="20"/>
                <w:szCs w:val="20"/>
              </w:rPr>
            </w:pPr>
            <w:r>
              <w:rPr>
                <w:rFonts w:hint="eastAsia" w:ascii="宋体" w:hAnsi="宋体" w:cs="宋体"/>
                <w:color w:val="auto"/>
                <w:sz w:val="21"/>
                <w:szCs w:val="21"/>
                <w:highlight w:val="none"/>
                <w:lang w:val="en-US" w:eastAsia="zh-CN"/>
              </w:rPr>
              <w:t>陕西德源府谷能源</w:t>
            </w:r>
            <w:r>
              <w:rPr>
                <w:rFonts w:hint="eastAsia" w:ascii="宋体" w:hAnsi="宋体" w:eastAsia="宋体" w:cs="宋体"/>
                <w:color w:val="auto"/>
                <w:sz w:val="21"/>
                <w:szCs w:val="21"/>
                <w:highlight w:val="none"/>
                <w:lang w:val="en-US" w:eastAsia="zh-CN"/>
              </w:rPr>
              <w:t>有限公司</w:t>
            </w:r>
          </w:p>
        </w:tc>
      </w:tr>
      <w:tr w14:paraId="3AE274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1658F17D">
            <w:pPr>
              <w:spacing w:before="88" w:line="240" w:lineRule="auto"/>
              <w:ind w:left="27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5</w:t>
            </w:r>
          </w:p>
        </w:tc>
        <w:tc>
          <w:tcPr>
            <w:tcW w:w="8153" w:type="dxa"/>
            <w:gridSpan w:val="3"/>
            <w:vAlign w:val="top"/>
          </w:tcPr>
          <w:p w14:paraId="1EC2C6FA">
            <w:pPr>
              <w:pStyle w:val="12"/>
              <w:spacing w:before="35" w:line="240" w:lineRule="auto"/>
              <w:ind w:left="2909"/>
              <w:jc w:val="both"/>
              <w:rPr>
                <w:sz w:val="20"/>
                <w:szCs w:val="20"/>
              </w:rPr>
            </w:pPr>
            <w:r>
              <w:rPr>
                <w:rFonts w:hint="eastAsia"/>
                <w:sz w:val="20"/>
                <w:szCs w:val="20"/>
              </w:rPr>
              <w:t>中国大唐集团能源投资有限责任公司</w:t>
            </w:r>
          </w:p>
        </w:tc>
      </w:tr>
      <w:tr w14:paraId="20D07C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328C3B8A">
            <w:pPr>
              <w:spacing w:before="88" w:line="240" w:lineRule="auto"/>
              <w:ind w:left="27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6</w:t>
            </w:r>
          </w:p>
        </w:tc>
        <w:tc>
          <w:tcPr>
            <w:tcW w:w="8153" w:type="dxa"/>
            <w:gridSpan w:val="3"/>
            <w:vAlign w:val="top"/>
          </w:tcPr>
          <w:p w14:paraId="2D811328">
            <w:pPr>
              <w:pStyle w:val="12"/>
              <w:spacing w:before="35" w:line="240" w:lineRule="auto"/>
              <w:ind w:left="2909"/>
              <w:jc w:val="both"/>
              <w:rPr>
                <w:sz w:val="20"/>
                <w:szCs w:val="20"/>
              </w:rPr>
            </w:pPr>
            <w:r>
              <w:rPr>
                <w:rFonts w:hint="eastAsia"/>
                <w:sz w:val="20"/>
                <w:szCs w:val="20"/>
              </w:rPr>
              <w:t>贵州豫能投资有限公司</w:t>
            </w:r>
          </w:p>
        </w:tc>
      </w:tr>
      <w:tr w14:paraId="07019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203A3BAA">
            <w:pPr>
              <w:spacing w:before="88" w:line="240" w:lineRule="auto"/>
              <w:ind w:left="27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7</w:t>
            </w:r>
          </w:p>
        </w:tc>
        <w:tc>
          <w:tcPr>
            <w:tcW w:w="8153" w:type="dxa"/>
            <w:gridSpan w:val="3"/>
            <w:vAlign w:val="top"/>
          </w:tcPr>
          <w:p w14:paraId="43D85624">
            <w:pPr>
              <w:pStyle w:val="12"/>
              <w:spacing w:before="35" w:line="240" w:lineRule="auto"/>
              <w:ind w:left="2909"/>
              <w:jc w:val="both"/>
              <w:rPr>
                <w:sz w:val="20"/>
                <w:szCs w:val="20"/>
              </w:rPr>
            </w:pPr>
            <w:r>
              <w:rPr>
                <w:rFonts w:hint="eastAsia"/>
                <w:sz w:val="20"/>
                <w:szCs w:val="20"/>
              </w:rPr>
              <w:t>中煤陕西榆林能源化工有限公司</w:t>
            </w:r>
          </w:p>
        </w:tc>
      </w:tr>
    </w:tbl>
    <w:p w14:paraId="31B0C757">
      <w:pPr>
        <w:spacing w:line="240" w:lineRule="auto"/>
        <w:rPr>
          <w:rFonts w:ascii="Arial"/>
          <w:sz w:val="21"/>
        </w:rPr>
      </w:pPr>
    </w:p>
    <w:sectPr>
      <w:footerReference r:id="rId5" w:type="default"/>
      <w:pgSz w:w="11906" w:h="16839"/>
      <w:pgMar w:top="1174" w:right="1684" w:bottom="1157" w:left="1684" w:header="0" w:footer="1196"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7F13D67-A76B-45BD-8493-7153650B97D7}"/>
  </w:font>
  <w:font w:name="黑体">
    <w:panose1 w:val="02010609060101010101"/>
    <w:charset w:val="86"/>
    <w:family w:val="auto"/>
    <w:pitch w:val="default"/>
    <w:sig w:usb0="800002BF" w:usb1="38CF7CFA" w:usb2="00000016" w:usb3="00000000" w:csb0="00040001" w:csb1="00000000"/>
    <w:embedRegular r:id="rId2" w:fontKey="{B0A57CAE-2659-4552-83B3-8534CD6964E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3" w:fontKey="{61BE1237-3B67-43CF-A1D5-F64E95DE0D51}"/>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roman"/>
    <w:pitch w:val="default"/>
    <w:sig w:usb0="F7FFAEFF" w:usb1="F9DFFFFF" w:usb2="0000007F" w:usb3="00000000" w:csb0="203F01FF" w:csb1="DFFF0000"/>
    <w:embedRegular r:id="rId4" w:fontKey="{53D04734-EDE4-4B58-8A87-1AC5B9D3F23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483C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73B20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73B20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172A27"/>
    <w:rsid w:val="059B24B4"/>
    <w:rsid w:val="0CCB047F"/>
    <w:rsid w:val="0D476705"/>
    <w:rsid w:val="10973B61"/>
    <w:rsid w:val="11F64A18"/>
    <w:rsid w:val="12B40728"/>
    <w:rsid w:val="160C3C6F"/>
    <w:rsid w:val="17B42173"/>
    <w:rsid w:val="194A5C14"/>
    <w:rsid w:val="1B926E6E"/>
    <w:rsid w:val="1BD528D3"/>
    <w:rsid w:val="21C84A65"/>
    <w:rsid w:val="23C6058D"/>
    <w:rsid w:val="284B2378"/>
    <w:rsid w:val="2E06152B"/>
    <w:rsid w:val="2ECB6A58"/>
    <w:rsid w:val="340A6274"/>
    <w:rsid w:val="381902C4"/>
    <w:rsid w:val="38625CA1"/>
    <w:rsid w:val="3BE04BEB"/>
    <w:rsid w:val="43A7763B"/>
    <w:rsid w:val="45607882"/>
    <w:rsid w:val="47C14A44"/>
    <w:rsid w:val="49033566"/>
    <w:rsid w:val="4C7D71E6"/>
    <w:rsid w:val="53BF59F0"/>
    <w:rsid w:val="56135281"/>
    <w:rsid w:val="61F03972"/>
    <w:rsid w:val="6A636EAA"/>
    <w:rsid w:val="6C087CC7"/>
    <w:rsid w:val="70904746"/>
    <w:rsid w:val="73AC7CB0"/>
    <w:rsid w:val="78D06865"/>
    <w:rsid w:val="7CA979E5"/>
    <w:rsid w:val="7D736845"/>
    <w:rsid w:val="7EAE3841"/>
    <w:rsid w:val="7F0B71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1"/>
      <w:szCs w:val="31"/>
      <w:lang w:val="en-US" w:eastAsia="en-US" w:bidi="ar-SA"/>
    </w:rPr>
  </w:style>
  <w:style w:type="paragraph" w:styleId="3">
    <w:name w:val="Plain Text"/>
    <w:basedOn w:val="1"/>
    <w:unhideWhenUsed/>
    <w:qFormat/>
    <w:uiPriority w:val="0"/>
    <w:pPr>
      <w:spacing w:beforeLines="0" w:afterLines="0" w:line="360" w:lineRule="auto"/>
      <w:ind w:firstLine="480"/>
    </w:pPr>
    <w:rPr>
      <w:rFonts w:hint="eastAsia" w:ascii="仿宋_GB2312" w:eastAsia="仿宋_GB2312"/>
      <w:sz w:val="24"/>
      <w:szCs w:val="24"/>
    </w:rPr>
  </w:style>
  <w:style w:type="paragraph" w:styleId="4">
    <w:name w:val="footer"/>
    <w:basedOn w:val="1"/>
    <w:next w:val="5"/>
    <w:qFormat/>
    <w:uiPriority w:val="0"/>
    <w:pPr>
      <w:tabs>
        <w:tab w:val="center" w:pos="4153"/>
        <w:tab w:val="right" w:pos="8306"/>
      </w:tabs>
      <w:snapToGrid w:val="0"/>
      <w:jc w:val="left"/>
    </w:pPr>
    <w:rPr>
      <w:sz w:val="18"/>
    </w:rPr>
  </w:style>
  <w:style w:type="paragraph" w:styleId="5">
    <w:name w:val="Body Text First Indent"/>
    <w:basedOn w:val="2"/>
    <w:unhideWhenUsed/>
    <w:qFormat/>
    <w:uiPriority w:val="0"/>
    <w:pPr>
      <w:spacing w:beforeLines="0" w:afterLines="0"/>
      <w:ind w:firstLine="420" w:firstLineChars="100"/>
    </w:pPr>
    <w:rPr>
      <w:rFonts w:hint="eastAsia"/>
      <w:sz w:val="24"/>
      <w:szCs w:val="24"/>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59"/>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nhideWhenUsed/>
    <w:qFormat/>
    <w:uiPriority w:val="0"/>
    <w:rPr>
      <w:rFonts w:hint="default"/>
      <w:sz w:val="24"/>
      <w:szCs w:val="24"/>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78c0a2d4-4eec-469a-86aa-b71e57eaae81</errorID>
      <errorWord>风流人流</errorWord>
      <group>L1_Knowledge</group>
      <groupName>知识性问题</groupName>
      <ability>L2_Knowledge</ability>
      <abilityName>其他知识</abilityName>
      <candidateList>
        <item>风流人物</item>
      </candidateList>
      <explain/>
      <paraID>7B7360DA</paraID>
      <start>76</start>
      <end>80</end>
      <status>unmodified</status>
      <modifiedWord/>
      <trackRevisions>false</trackRevisions>
    </reviewItem>
    <reviewItem>
      <errorID>ef8dedac-bf17-40d9-98cb-d634a8141982</errorID>
      <errorWord>业</errorWord>
      <group>L1_Word</group>
      <groupName>字词问题</groupName>
      <ability>L2_Typo</ability>
      <abilityName>字词错误</abilityName>
      <candidateList>
        <item>业在</item>
      </candidateList>
      <explain/>
      <paraID>7B7360DA</paraID>
      <start>185</start>
      <end>186</end>
      <status>unmodified</status>
      <modifiedWord/>
      <trackRevisions>false</trackRevisions>
    </reviewItem>
    <reviewItem>
      <errorID>c996030c-8114-41b6-a4ab-36416c99be6f</errorID>
      <errorWord>国家发改委</errorWord>
      <group>L1_Knowledge</group>
      <groupName>知识性问题</groupName>
      <ability>L2_Knowledge</ability>
      <abilityName>其他知识</abilityName>
      <candidateList>
        <item>国家发展改革委</item>
      </candidateList>
      <explain/>
      <paraID> C410069</paraID>
      <start>7</start>
      <end>12</end>
      <status>unmodified</status>
      <modifiedWord/>
      <trackRevisions>false</trackRevisions>
    </reviewItem>
    <reviewItem>
      <errorID>523df4b4-54c7-4b0c-b147-b171aaedabee</errorID>
      <errorWord>亟需</errorWord>
      <group>L1_Word</group>
      <groupName>字词问题</groupName>
      <ability>L2_Typo</ability>
      <abilityName>字词错误</abilityName>
      <candidateList>
        <item>亟须</item>
      </candidateList>
      <explain/>
      <paraID>101D9B2B</paraID>
      <start>31</start>
      <end>33</end>
      <status>unmodified</status>
      <modifiedWord/>
      <trackRevisions>false</trackRevisions>
    </reviewItem>
    <reviewItem>
      <errorID>35efa540-62d9-487d-9f20-f3a37ccb8fb1</errorID>
      <errorWord>风流人流</errorWord>
      <group>L1_Knowledge</group>
      <groupName>知识性问题</groupName>
      <ability>L2_Knowledge</ability>
      <abilityName>其他知识</abilityName>
      <candidateList>
        <item>风流人物</item>
      </candidateList>
      <explain/>
      <paraID>101D9B2B</paraID>
      <start>123</start>
      <end>127</end>
      <status>unmodified</status>
      <modifiedWord/>
      <trackRevisions>false</trackRevisions>
    </reviewItem>
    <reviewItem>
      <errorID>a72e9f46-549e-4b82-9611-2db6cc21e44d</errorID>
      <errorWord>风流人流</errorWord>
      <group>L1_Knowledge</group>
      <groupName>知识性问题</groupName>
      <ability>L2_Knowledge</ability>
      <abilityName>其他知识</abilityName>
      <candidateList>
        <item>风流人物</item>
      </candidateList>
      <explain/>
      <paraID>  FA16C8</paraID>
      <start>14</start>
      <end>18</end>
      <status>unmodified</status>
      <modifiedWord/>
      <trackRevisions>false</trackRevisions>
    </reviewItem>
    <reviewItem>
      <errorID>9098a82b-f942-42af-a60d-30583c6c3507</errorID>
      <errorWord>风流人流</errorWord>
      <group>L1_Knowledge</group>
      <groupName>知识性问题</groupName>
      <ability>L2_Knowledge</ability>
      <abilityName>其他知识</abilityName>
      <candidateList>
        <item>风流人物</item>
      </candidateList>
      <explain/>
      <paraID>727D0E6E</paraID>
      <start>8</start>
      <end>12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87e12-db15-472b-b7b6-271ff6d3f3fa}">
  <ds:schemaRefs/>
</ds:datastoreItem>
</file>

<file path=docProps/app.xml><?xml version="1.0" encoding="utf-8"?>
<Properties xmlns="http://schemas.openxmlformats.org/officeDocument/2006/extended-properties" xmlns:vt="http://schemas.openxmlformats.org/officeDocument/2006/docPropsVTypes">
  <Pages>4</Pages>
  <Words>2507</Words>
  <Characters>2649</Characters>
  <TotalTime>12</TotalTime>
  <ScaleCrop>false</ScaleCrop>
  <LinksUpToDate>false</LinksUpToDate>
  <CharactersWithSpaces>2651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2025-04-01T11:14:00Z</dcterms:created>
  <dc:creator>LIUFANGFANG</dc:creator>
  <cp:lastModifiedBy>蓝光～</cp:lastModifiedBy>
  <dcterms:modified xsi:type="dcterms:W3CDTF">2026-07-20T08:35:04Z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2026-07-16T15:08:53Z</vt:filetime>
  </property>
  <property fmtid="{D5CDD505-2E9C-101B-9397-08002B2CF9AE}" pid="4" name="KSOTemplateDocerSaveRecord">
    <vt:lpwstr>eyJoZGlkIjoiMjY3Zjk5MzI2Y2NiODdiN2M0MDU3MzJhYTdjZGU5ZTEiLCJ1c2VySWQiOiI0MzE2Njk0MTQifQ==</vt:lpwstr>
  </property>
  <property fmtid="{D5CDD505-2E9C-101B-9397-08002B2CF9AE}" pid="5" name="KSOProductBuildVer">
    <vt:lpwstr>2052-12.1.0.26895</vt:lpwstr>
  </property>
  <property fmtid="{D5CDD505-2E9C-101B-9397-08002B2CF9AE}" pid="6" name="ICV">
    <vt:lpwstr>4C1096C882DF4046A0D5401C6E8828FC_13</vt:lpwstr>
  </property>
</Properties>
</file>