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7" w:line="240" w:lineRule="auto"/>
        <w:ind w:left="1112"/>
        <w:outlineLvl w:val="0"/>
        <w:rPr>
          <w:rFonts w:ascii="宋体" w:hAnsi="宋体" w:eastAsia="宋体" w:cs="宋体"/>
          <w:sz w:val="43"/>
          <w:szCs w:val="43"/>
        </w:rPr>
      </w:pPr>
      <w:r>
        <w:rPr>
          <w:rFonts w:ascii="宋体" w:hAnsi="宋体" w:eastAsia="宋体" w:cs="宋体"/>
          <w:b/>
          <w:bCs/>
          <w:spacing w:val="3"/>
          <w:sz w:val="43"/>
          <w:szCs w:val="43"/>
        </w:rPr>
        <w:t>山东省科学技术进步奖提名公示</w:t>
      </w:r>
    </w:p>
    <w:p>
      <w:pPr>
        <w:spacing w:line="240" w:lineRule="auto"/>
        <w:rPr>
          <w:rFonts w:ascii="Arial"/>
          <w:sz w:val="21"/>
        </w:rPr>
      </w:pPr>
    </w:p>
    <w:p>
      <w:pPr>
        <w:keepNext w:val="0"/>
        <w:keepLines w:val="0"/>
        <w:pageBreakBefore w:val="0"/>
        <w:widowControl/>
        <w:kinsoku w:val="0"/>
        <w:wordWrap/>
        <w:overflowPunct/>
        <w:topLinePunct w:val="0"/>
        <w:autoSpaceDE w:val="0"/>
        <w:autoSpaceDN w:val="0"/>
        <w:bidi w:val="0"/>
        <w:adjustRightInd w:val="0"/>
        <w:snapToGrid w:val="0"/>
        <w:spacing w:before="101" w:line="440" w:lineRule="exact"/>
        <w:ind w:left="667"/>
        <w:textAlignment w:val="baseline"/>
        <w:outlineLvl w:val="1"/>
        <w:rPr>
          <w:rFonts w:ascii="黑体" w:hAnsi="黑体" w:eastAsia="黑体" w:cs="黑体"/>
          <w:sz w:val="32"/>
          <w:szCs w:val="32"/>
        </w:rPr>
      </w:pPr>
      <w:r>
        <w:rPr>
          <w:rFonts w:ascii="黑体" w:hAnsi="黑体" w:eastAsia="黑体" w:cs="黑体"/>
          <w:spacing w:val="7"/>
          <w:sz w:val="32"/>
          <w:szCs w:val="32"/>
        </w:rPr>
        <w:t>一、项目名称</w:t>
      </w:r>
    </w:p>
    <w:p>
      <w:pPr>
        <w:pStyle w:val="2"/>
        <w:keepNext w:val="0"/>
        <w:keepLines w:val="0"/>
        <w:pageBreakBefore w:val="0"/>
        <w:widowControl/>
        <w:kinsoku w:val="0"/>
        <w:wordWrap/>
        <w:overflowPunct/>
        <w:topLinePunct w:val="0"/>
        <w:autoSpaceDE w:val="0"/>
        <w:autoSpaceDN w:val="0"/>
        <w:bidi w:val="0"/>
        <w:adjustRightInd w:val="0"/>
        <w:snapToGrid w:val="0"/>
        <w:spacing w:before="182" w:line="440" w:lineRule="exact"/>
        <w:ind w:left="702"/>
        <w:textAlignment w:val="baseline"/>
        <w:rPr>
          <w:rFonts w:hint="eastAsia"/>
          <w:spacing w:val="5"/>
          <w:sz w:val="32"/>
          <w:szCs w:val="32"/>
          <w:lang w:val="en-US" w:eastAsia="en-US"/>
        </w:rPr>
      </w:pPr>
      <w:r>
        <w:rPr>
          <w:rFonts w:hint="eastAsia"/>
          <w:spacing w:val="5"/>
          <w:sz w:val="32"/>
          <w:szCs w:val="32"/>
          <w:lang w:val="en-US" w:eastAsia="en-US"/>
        </w:rPr>
        <w:t>平滑铝套高压∕超高压电缆系统关键技术研发及产业化</w:t>
      </w:r>
    </w:p>
    <w:p>
      <w:pPr>
        <w:keepNext w:val="0"/>
        <w:keepLines w:val="0"/>
        <w:pageBreakBefore w:val="0"/>
        <w:widowControl/>
        <w:kinsoku w:val="0"/>
        <w:wordWrap/>
        <w:overflowPunct/>
        <w:topLinePunct w:val="0"/>
        <w:autoSpaceDE w:val="0"/>
        <w:autoSpaceDN w:val="0"/>
        <w:bidi w:val="0"/>
        <w:adjustRightInd w:val="0"/>
        <w:snapToGrid w:val="0"/>
        <w:spacing w:before="188" w:line="440" w:lineRule="exact"/>
        <w:ind w:left="667"/>
        <w:textAlignment w:val="baseline"/>
        <w:outlineLvl w:val="1"/>
        <w:rPr>
          <w:rFonts w:ascii="黑体" w:hAnsi="黑体" w:eastAsia="黑体" w:cs="黑体"/>
          <w:sz w:val="32"/>
          <w:szCs w:val="32"/>
        </w:rPr>
      </w:pPr>
      <w:r>
        <w:rPr>
          <w:rFonts w:ascii="黑体" w:hAnsi="黑体" w:eastAsia="黑体" w:cs="黑体"/>
          <w:spacing w:val="8"/>
          <w:sz w:val="32"/>
          <w:szCs w:val="32"/>
        </w:rPr>
        <w:t>二、提名者及提名意见</w:t>
      </w:r>
    </w:p>
    <w:p>
      <w:pPr>
        <w:pStyle w:val="2"/>
        <w:keepNext w:val="0"/>
        <w:keepLines w:val="0"/>
        <w:pageBreakBefore w:val="0"/>
        <w:widowControl/>
        <w:kinsoku w:val="0"/>
        <w:wordWrap/>
        <w:overflowPunct/>
        <w:topLinePunct w:val="0"/>
        <w:autoSpaceDE w:val="0"/>
        <w:autoSpaceDN w:val="0"/>
        <w:bidi w:val="0"/>
        <w:adjustRightInd w:val="0"/>
        <w:snapToGrid w:val="0"/>
        <w:spacing w:before="184" w:line="440" w:lineRule="exact"/>
        <w:ind w:left="659"/>
        <w:textAlignment w:val="baseline"/>
        <w:rPr>
          <w:sz w:val="32"/>
          <w:szCs w:val="32"/>
        </w:rPr>
      </w:pPr>
      <w:r>
        <w:rPr>
          <w:b/>
          <w:bCs/>
          <w:spacing w:val="8"/>
          <w:sz w:val="32"/>
          <w:szCs w:val="32"/>
        </w:rPr>
        <w:t>提名者：</w:t>
      </w:r>
      <w:r>
        <w:rPr>
          <w:spacing w:val="8"/>
          <w:sz w:val="32"/>
          <w:szCs w:val="32"/>
        </w:rPr>
        <w:t>泰安市科学技术局</w:t>
      </w:r>
    </w:p>
    <w:p>
      <w:pPr>
        <w:pStyle w:val="2"/>
        <w:keepNext w:val="0"/>
        <w:keepLines w:val="0"/>
        <w:pageBreakBefore w:val="0"/>
        <w:widowControl/>
        <w:kinsoku w:val="0"/>
        <w:wordWrap/>
        <w:overflowPunct/>
        <w:topLinePunct w:val="0"/>
        <w:autoSpaceDE w:val="0"/>
        <w:autoSpaceDN w:val="0"/>
        <w:bidi w:val="0"/>
        <w:adjustRightInd w:val="0"/>
        <w:snapToGrid w:val="0"/>
        <w:spacing w:before="185" w:line="440" w:lineRule="exact"/>
        <w:ind w:left="659"/>
        <w:textAlignment w:val="baseline"/>
        <w:rPr>
          <w:sz w:val="32"/>
          <w:szCs w:val="32"/>
        </w:rPr>
      </w:pPr>
      <w:r>
        <w:rPr>
          <w:b/>
          <w:bCs/>
          <w:spacing w:val="3"/>
          <w:sz w:val="32"/>
          <w:szCs w:val="32"/>
        </w:rPr>
        <w:t>提名意见：</w:t>
      </w:r>
    </w:p>
    <w:p>
      <w:pPr>
        <w:pStyle w:val="2"/>
        <w:keepNext w:val="0"/>
        <w:keepLines w:val="0"/>
        <w:pageBreakBefore w:val="0"/>
        <w:widowControl/>
        <w:kinsoku w:val="0"/>
        <w:wordWrap/>
        <w:overflowPunct/>
        <w:topLinePunct w:val="0"/>
        <w:autoSpaceDE w:val="0"/>
        <w:autoSpaceDN w:val="0"/>
        <w:bidi w:val="0"/>
        <w:adjustRightInd w:val="0"/>
        <w:snapToGrid w:val="0"/>
        <w:spacing w:line="440" w:lineRule="exact"/>
        <w:ind w:left="0" w:firstLine="660" w:firstLineChars="200"/>
        <w:textAlignment w:val="baseline"/>
        <w:rPr>
          <w:rFonts w:hint="eastAsia"/>
          <w:spacing w:val="5"/>
          <w:sz w:val="32"/>
          <w:szCs w:val="32"/>
          <w:lang w:val="en-US" w:eastAsia="en-US"/>
        </w:rPr>
      </w:pPr>
      <w:r>
        <w:rPr>
          <w:rFonts w:hint="eastAsia"/>
          <w:spacing w:val="5"/>
          <w:sz w:val="32"/>
          <w:szCs w:val="32"/>
          <w:lang w:val="en-US" w:eastAsia="en-US"/>
        </w:rPr>
        <w:t>本项目针对高压电缆缓冲层烧蚀故障频发的行业难题，联合青岛科技大学、哈尔滨理工大学等单位开展产学研协同技术攻关，成功研发了110kV 至500kV 大截面、大长度智能化平滑铝电缆系列产品，攻克了传统皱纹铝套电缆缓冲层烧蚀难题。提出了基于“新型缓冲层材料”和“平滑铝套新型结构”协同配合的缓冲层烧蚀抑制方法（感应电势降低15%，气隙放电量降低30%）；研制了基于导电层与硅橡胶/EPDM 梯度介电分布的电缆附件复合结构（局部放电量降低40%，接头轴向拉力提高67%）；研发了高压电缆局部放电在线监测系统（PDM-100），实现了电缆线路运行过程中局放信号的自动分离、自动识别和自动预警。首创了基于BIM的电缆路径冲突预判算法，为大规模工程应用提供了全流程技术指导（施工效率提高30%）。</w:t>
      </w:r>
    </w:p>
    <w:p>
      <w:pPr>
        <w:pStyle w:val="2"/>
        <w:keepNext w:val="0"/>
        <w:keepLines w:val="0"/>
        <w:pageBreakBefore w:val="0"/>
        <w:widowControl/>
        <w:kinsoku w:val="0"/>
        <w:wordWrap/>
        <w:overflowPunct/>
        <w:topLinePunct w:val="0"/>
        <w:autoSpaceDE w:val="0"/>
        <w:autoSpaceDN w:val="0"/>
        <w:bidi w:val="0"/>
        <w:adjustRightInd w:val="0"/>
        <w:snapToGrid w:val="0"/>
        <w:spacing w:line="440" w:lineRule="exact"/>
        <w:ind w:left="0" w:firstLine="660" w:firstLineChars="200"/>
        <w:textAlignment w:val="baseline"/>
        <w:rPr>
          <w:rFonts w:hint="eastAsia"/>
          <w:spacing w:val="5"/>
          <w:sz w:val="32"/>
          <w:szCs w:val="32"/>
          <w:lang w:val="en-US" w:eastAsia="en-US"/>
        </w:rPr>
      </w:pPr>
      <w:r>
        <w:rPr>
          <w:rFonts w:hint="eastAsia"/>
          <w:spacing w:val="5"/>
          <w:sz w:val="32"/>
          <w:szCs w:val="32"/>
          <w:lang w:val="en-US" w:eastAsia="en-US"/>
        </w:rPr>
        <w:t>研究成果授权国家专利60件（发明26件）；出版专著1部，发表软件著作权1项，发表学术论文22篇,发布国家标准10项、团体标准2项。研制了平滑铝套高压及超高压电缆系列产品，经中国电力企业联合会鉴定，110kV高压电缆、500kV超高压电缆、高压电缆局部放电在线监测系统三个新产品均达到国际领先水平，220kV高压电缆产品达到国际先进水平，填补了行业空白。产品在欧洲荷兰TENNET TSO B.V.集团、越南胡志明市，国内中广核、航洋电力等国内外市场得到推广应用，近两年新增销售额33.01亿元，新增利润5.61亿元，新增税收5414万元，创汇1.72亿美元，为保障电力可靠供应提供了重要支撑。</w:t>
      </w:r>
    </w:p>
    <w:p>
      <w:pPr>
        <w:pStyle w:val="2"/>
        <w:keepNext w:val="0"/>
        <w:keepLines w:val="0"/>
        <w:pageBreakBefore w:val="0"/>
        <w:widowControl/>
        <w:kinsoku w:val="0"/>
        <w:wordWrap/>
        <w:overflowPunct/>
        <w:topLinePunct w:val="0"/>
        <w:autoSpaceDE w:val="0"/>
        <w:autoSpaceDN w:val="0"/>
        <w:bidi w:val="0"/>
        <w:adjustRightInd w:val="0"/>
        <w:snapToGrid w:val="0"/>
        <w:spacing w:before="182" w:line="440" w:lineRule="exact"/>
        <w:ind w:left="702"/>
        <w:textAlignment w:val="baseline"/>
        <w:rPr>
          <w:rFonts w:ascii="黑体" w:hAnsi="黑体" w:eastAsia="黑体" w:cs="黑体"/>
          <w:spacing w:val="8"/>
          <w:sz w:val="32"/>
          <w:szCs w:val="32"/>
        </w:rPr>
      </w:pPr>
      <w:r>
        <w:rPr>
          <w:rFonts w:ascii="黑体" w:hAnsi="黑体" w:eastAsia="黑体" w:cs="黑体"/>
          <w:spacing w:val="8"/>
          <w:sz w:val="32"/>
          <w:szCs w:val="32"/>
        </w:rPr>
        <w:t>三、提名等级</w:t>
      </w:r>
    </w:p>
    <w:p>
      <w:pPr>
        <w:pStyle w:val="2"/>
        <w:keepNext w:val="0"/>
        <w:keepLines w:val="0"/>
        <w:pageBreakBefore w:val="0"/>
        <w:widowControl/>
        <w:kinsoku w:val="0"/>
        <w:wordWrap/>
        <w:overflowPunct/>
        <w:topLinePunct w:val="0"/>
        <w:autoSpaceDE w:val="0"/>
        <w:autoSpaceDN w:val="0"/>
        <w:bidi w:val="0"/>
        <w:adjustRightInd w:val="0"/>
        <w:snapToGrid w:val="0"/>
        <w:spacing w:before="182" w:line="440" w:lineRule="exact"/>
        <w:ind w:left="702"/>
        <w:textAlignment w:val="baseline"/>
        <w:rPr>
          <w:sz w:val="32"/>
          <w:szCs w:val="32"/>
        </w:rPr>
      </w:pPr>
      <w:r>
        <w:rPr>
          <w:spacing w:val="5"/>
          <w:sz w:val="32"/>
          <w:szCs w:val="32"/>
        </w:rPr>
        <w:t>山东省科学技术进步奖</w:t>
      </w:r>
      <w:r>
        <w:rPr>
          <w:rFonts w:hint="eastAsia"/>
          <w:spacing w:val="5"/>
          <w:sz w:val="32"/>
          <w:szCs w:val="32"/>
          <w:lang w:val="en-US" w:eastAsia="zh-CN"/>
        </w:rPr>
        <w:t>二</w:t>
      </w:r>
      <w:r>
        <w:rPr>
          <w:spacing w:val="5"/>
          <w:sz w:val="32"/>
          <w:szCs w:val="32"/>
        </w:rPr>
        <w:t>等奖</w:t>
      </w:r>
    </w:p>
    <w:p>
      <w:pPr>
        <w:keepNext w:val="0"/>
        <w:keepLines w:val="0"/>
        <w:pageBreakBefore w:val="0"/>
        <w:widowControl/>
        <w:kinsoku w:val="0"/>
        <w:wordWrap/>
        <w:overflowPunct/>
        <w:topLinePunct w:val="0"/>
        <w:autoSpaceDE w:val="0"/>
        <w:autoSpaceDN w:val="0"/>
        <w:bidi w:val="0"/>
        <w:adjustRightInd w:val="0"/>
        <w:snapToGrid w:val="0"/>
        <w:spacing w:before="188" w:line="440" w:lineRule="exact"/>
        <w:ind w:left="667"/>
        <w:textAlignment w:val="baseline"/>
        <w:outlineLvl w:val="1"/>
        <w:rPr>
          <w:rFonts w:ascii="黑体" w:hAnsi="黑体" w:eastAsia="黑体" w:cs="黑体"/>
          <w:spacing w:val="8"/>
          <w:sz w:val="32"/>
          <w:szCs w:val="32"/>
        </w:rPr>
      </w:pPr>
      <w:r>
        <w:rPr>
          <w:rFonts w:ascii="黑体" w:hAnsi="黑体" w:eastAsia="黑体" w:cs="黑体"/>
          <w:spacing w:val="8"/>
          <w:sz w:val="32"/>
          <w:szCs w:val="32"/>
        </w:rPr>
        <w:t>四、项目简介</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 xml:space="preserve">高压电缆是支撑新型电力系统，保障电力能源安全输送的关键电力装备。当前，我国高压电缆主要采用皱纹铝套结构，国内高压电缆线路缓冲层烧蚀故障频发，严重威胁了城市电网安全运行，亟待研发基于新型结构的抗烧蚀高压电缆。本项目在山东省重大科技创新工程、泰安市科技创新重大专项等项目的支持下，联合青岛科技大学、哈尔滨理工大学历时近十年开展产学研协同技术攻关，攻克了缓冲层烧蚀抑制、新型结构高压电缆制造、智能化监测三大技术难题，研发了基于新型结构的110kV-500kV平滑铝套电缆及附件系统系列产品，并集成了局部放电智能监测系统，成功解决了高压电缆缓冲层烧蚀这一重大行业难题。主要创新点如下： </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642" w:firstLineChars="200"/>
        <w:textAlignment w:val="baseline"/>
        <w:rPr>
          <w:rFonts w:hint="eastAsia" w:ascii="仿宋" w:hAnsi="仿宋" w:eastAsia="仿宋" w:cs="仿宋"/>
          <w:sz w:val="32"/>
          <w:szCs w:val="32"/>
        </w:rPr>
      </w:pPr>
      <w:r>
        <w:rPr>
          <w:rFonts w:hint="eastAsia" w:ascii="仿宋" w:hAnsi="仿宋" w:eastAsia="仿宋" w:cs="仿宋"/>
          <w:b/>
          <w:bCs/>
          <w:sz w:val="32"/>
          <w:szCs w:val="32"/>
        </w:rPr>
        <w:t>（1）创新点1：高压/超高压电缆缓冲层烧蚀机理及抑制关键技术。</w:t>
      </w:r>
      <w:r>
        <w:rPr>
          <w:rFonts w:hint="eastAsia" w:ascii="仿宋" w:hAnsi="仿宋" w:eastAsia="仿宋" w:cs="仿宋"/>
          <w:sz w:val="32"/>
          <w:szCs w:val="32"/>
        </w:rPr>
        <w:t>针对缓冲层烧蚀机理复杂，现有管控手段难以从根本上解决烧蚀故障的难题，研究</w:t>
      </w:r>
      <w:r>
        <w:rPr>
          <w:rFonts w:hint="eastAsia" w:ascii="仿宋" w:hAnsi="仿宋" w:eastAsia="仿宋" w:cs="仿宋"/>
          <w:color w:val="000000"/>
          <w:sz w:val="32"/>
          <w:szCs w:val="32"/>
        </w:rPr>
        <w:t>提出了缓冲层烧蚀</w:t>
      </w:r>
      <w:bookmarkStart w:id="0" w:name="OLE_LINK42"/>
      <w:r>
        <w:rPr>
          <w:rFonts w:hint="eastAsia" w:ascii="仿宋" w:hAnsi="仿宋" w:eastAsia="仿宋" w:cs="仿宋"/>
          <w:color w:val="000000"/>
          <w:sz w:val="32"/>
          <w:szCs w:val="32"/>
        </w:rPr>
        <w:t>等效分析</w:t>
      </w:r>
      <w:bookmarkEnd w:id="0"/>
      <w:r>
        <w:rPr>
          <w:rFonts w:hint="eastAsia" w:ascii="仿宋" w:hAnsi="仿宋" w:eastAsia="仿宋" w:cs="仿宋"/>
          <w:color w:val="000000"/>
          <w:sz w:val="32"/>
          <w:szCs w:val="32"/>
        </w:rPr>
        <w:t>模型</w:t>
      </w:r>
      <w:r>
        <w:rPr>
          <w:rFonts w:hint="eastAsia" w:ascii="仿宋" w:hAnsi="仿宋" w:eastAsia="仿宋" w:cs="仿宋"/>
          <w:sz w:val="32"/>
          <w:szCs w:val="32"/>
        </w:rPr>
        <w:t>，揭示了高压/超高压电缆缓冲层烧蚀机理；提出了基于“新型缓冲层材料”和“平滑铝套新型结构”协同配合的缓冲层烧蚀抑制方法，从根本上抑制了高压/超高压电缆缓冲层烧蚀现象。</w:t>
      </w:r>
      <w:bookmarkStart w:id="1" w:name="OLE_LINK43"/>
      <w:r>
        <w:rPr>
          <w:rFonts w:hint="eastAsia" w:ascii="仿宋" w:hAnsi="仿宋" w:eastAsia="仿宋" w:cs="仿宋"/>
          <w:sz w:val="32"/>
          <w:szCs w:val="32"/>
        </w:rPr>
        <w:t>较普通皱纹铝套电缆，新型平滑铝套电缆载流量提升10%，电缆外径实现12-15%的降幅</w:t>
      </w:r>
      <w:bookmarkEnd w:id="1"/>
      <w:r>
        <w:rPr>
          <w:rFonts w:hint="eastAsia" w:ascii="仿宋" w:hAnsi="仿宋" w:eastAsia="仿宋" w:cs="仿宋"/>
          <w:sz w:val="32"/>
          <w:szCs w:val="32"/>
        </w:rPr>
        <w:t>，显著降低了产品成本和工程投资。</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642" w:firstLineChars="200"/>
        <w:textAlignment w:val="baseline"/>
        <w:rPr>
          <w:rFonts w:hint="eastAsia" w:ascii="仿宋" w:hAnsi="仿宋" w:eastAsia="仿宋" w:cs="仿宋"/>
          <w:sz w:val="32"/>
          <w:szCs w:val="32"/>
        </w:rPr>
      </w:pPr>
      <w:r>
        <w:rPr>
          <w:rFonts w:hint="eastAsia" w:ascii="仿宋" w:hAnsi="仿宋" w:eastAsia="仿宋" w:cs="仿宋"/>
          <w:b/>
          <w:bCs/>
          <w:sz w:val="32"/>
          <w:szCs w:val="32"/>
        </w:rPr>
        <w:t>（2）创新点2：</w:t>
      </w:r>
      <w:bookmarkStart w:id="2" w:name="OLE_LINK6"/>
      <w:r>
        <w:rPr>
          <w:rFonts w:hint="eastAsia" w:ascii="仿宋" w:hAnsi="仿宋" w:eastAsia="仿宋" w:cs="仿宋"/>
          <w:b/>
          <w:bCs/>
          <w:sz w:val="32"/>
          <w:szCs w:val="32"/>
        </w:rPr>
        <w:t>平滑铝套高压/超高压电缆及附件制造关键技术</w:t>
      </w:r>
      <w:bookmarkEnd w:id="2"/>
      <w:r>
        <w:rPr>
          <w:rFonts w:hint="eastAsia" w:ascii="仿宋" w:hAnsi="仿宋" w:eastAsia="仿宋" w:cs="仿宋"/>
          <w:sz w:val="32"/>
          <w:szCs w:val="32"/>
        </w:rPr>
        <w:t>。针对平滑铝套电缆制造中存在的导体氧化、护套成型及界面配合等技术瓶颈，发明了自循环环保型铜拉丝抗氧化装置，攻克了氩弧焊缩径协同控制技术，电缆行业首创了热熔胶雾化喷涂工艺，生产能耗降低13%，产品弯曲性能提升44%。针对平滑铝套电缆附件工艺升级需求，研制了基于导电层与硅橡胶/EPDM介电梯度分布的“预扩张冷缩式终端+柔性应力锥”复合结构，局部放电量较行业同类产品降低40%。</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642" w:firstLineChars="200"/>
        <w:jc w:val="left"/>
        <w:textAlignment w:val="baseline"/>
        <w:rPr>
          <w:rFonts w:hint="eastAsia" w:ascii="仿宋" w:hAnsi="仿宋" w:eastAsia="仿宋" w:cs="仿宋"/>
          <w:sz w:val="32"/>
          <w:szCs w:val="32"/>
        </w:rPr>
      </w:pPr>
      <w:r>
        <w:rPr>
          <w:rFonts w:hint="eastAsia" w:ascii="仿宋" w:hAnsi="仿宋" w:eastAsia="仿宋" w:cs="仿宋"/>
          <w:b/>
          <w:bCs/>
          <w:sz w:val="32"/>
          <w:szCs w:val="32"/>
        </w:rPr>
        <w:t>（3）创新点3：</w:t>
      </w:r>
      <w:bookmarkStart w:id="3" w:name="OLE_LINK8"/>
      <w:r>
        <w:rPr>
          <w:rFonts w:hint="eastAsia" w:ascii="仿宋" w:hAnsi="仿宋" w:eastAsia="仿宋" w:cs="仿宋"/>
          <w:b/>
          <w:bCs/>
          <w:sz w:val="32"/>
          <w:szCs w:val="32"/>
        </w:rPr>
        <w:t>平滑铝套高压/超高压电缆系统智能监测及工程应用</w:t>
      </w:r>
      <w:bookmarkEnd w:id="3"/>
      <w:r>
        <w:rPr>
          <w:rFonts w:hint="eastAsia" w:ascii="仿宋" w:hAnsi="仿宋" w:eastAsia="仿宋" w:cs="仿宋"/>
          <w:b/>
          <w:bCs/>
          <w:sz w:val="32"/>
          <w:szCs w:val="32"/>
        </w:rPr>
        <w:t>。</w:t>
      </w:r>
      <w:bookmarkStart w:id="4" w:name="OLE_LINK46"/>
      <w:r>
        <w:rPr>
          <w:rFonts w:hint="eastAsia" w:ascii="仿宋" w:hAnsi="仿宋" w:eastAsia="仿宋" w:cs="仿宋"/>
          <w:sz w:val="32"/>
          <w:szCs w:val="32"/>
        </w:rPr>
        <w:t>针对高压电缆在线监测装置可靠性要求高、现场干扰大的技术难题</w:t>
      </w:r>
      <w:bookmarkEnd w:id="4"/>
      <w:r>
        <w:rPr>
          <w:rFonts w:hint="eastAsia" w:ascii="仿宋" w:hAnsi="仿宋" w:eastAsia="仿宋" w:cs="仿宋"/>
          <w:sz w:val="32"/>
          <w:szCs w:val="32"/>
        </w:rPr>
        <w:t>，研发了高压电缆局部放电在线监测系统（PDM-100）,</w:t>
      </w:r>
      <w:r>
        <w:rPr>
          <w:rFonts w:hint="eastAsia"/>
          <w:sz w:val="32"/>
          <w:szCs w:val="32"/>
        </w:rPr>
        <w:t xml:space="preserve"> </w:t>
      </w:r>
      <w:r>
        <w:rPr>
          <w:rFonts w:hint="eastAsia" w:ascii="仿宋" w:hAnsi="仿宋" w:eastAsia="仿宋" w:cs="仿宋"/>
          <w:sz w:val="32"/>
          <w:szCs w:val="32"/>
        </w:rPr>
        <w:t>攻克了高电压等级下高精度、高可靠性监测装置开发、大数据状态评估等关键技术，实现了电缆线路运行过程中局放信号的自动识别和智能预警（准确率≥95%）。工程应用方面，提出了“敷设-附件安装-试验”全流程工程规范，首创了基于BIM的电缆路径冲突预判算法，为大规模工程应用提供了全流程技术指导。</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640" w:firstLineChars="200"/>
        <w:textAlignment w:val="baseline"/>
        <w:rPr>
          <w:rFonts w:ascii="仿宋" w:hAnsi="仿宋" w:eastAsia="仿宋" w:cs="仿宋"/>
          <w:sz w:val="32"/>
          <w:szCs w:val="32"/>
        </w:rPr>
      </w:pPr>
      <w:r>
        <w:rPr>
          <w:rFonts w:hint="eastAsia" w:ascii="仿宋" w:hAnsi="仿宋" w:eastAsia="仿宋" w:cs="仿宋"/>
          <w:sz w:val="32"/>
          <w:szCs w:val="32"/>
        </w:rPr>
        <w:t>研究成果授权国家专利60件（发明26件）；出版专著1部，发表软件著作权1项，发表学术论文22篇,发布国家标准1</w:t>
      </w:r>
      <w:r>
        <w:rPr>
          <w:rFonts w:hint="eastAsia" w:ascii="仿宋" w:hAnsi="仿宋" w:eastAsia="仿宋" w:cs="仿宋"/>
          <w:sz w:val="32"/>
          <w:szCs w:val="32"/>
          <w:lang w:val="en-US" w:eastAsia="zh-CN"/>
        </w:rPr>
        <w:t>0</w:t>
      </w:r>
      <w:r>
        <w:rPr>
          <w:rFonts w:hint="eastAsia" w:ascii="仿宋" w:hAnsi="仿宋" w:eastAsia="仿宋" w:cs="仿宋"/>
          <w:sz w:val="32"/>
          <w:szCs w:val="32"/>
        </w:rPr>
        <w:t>项、团体标准2项。研制了平滑铝套高压及超高压系列产品，经中国电力企业联合会鉴定，</w:t>
      </w:r>
      <w:bookmarkStart w:id="5" w:name="OLE_LINK9"/>
      <w:r>
        <w:rPr>
          <w:rFonts w:hint="eastAsia" w:ascii="仿宋" w:hAnsi="仿宋" w:eastAsia="仿宋" w:cs="仿宋"/>
          <w:sz w:val="32"/>
          <w:szCs w:val="32"/>
        </w:rPr>
        <w:t>110kV高压电缆、500kV超高压电缆、高压电缆局部放电在线监测系统</w:t>
      </w:r>
      <w:bookmarkEnd w:id="5"/>
      <w:r>
        <w:rPr>
          <w:rFonts w:hint="eastAsia" w:ascii="仿宋" w:hAnsi="仿宋" w:eastAsia="仿宋" w:cs="仿宋"/>
          <w:sz w:val="32"/>
          <w:szCs w:val="32"/>
        </w:rPr>
        <w:t>三个新产品均达到</w:t>
      </w:r>
      <w:bookmarkStart w:id="6" w:name="OLE_LINK10"/>
      <w:r>
        <w:rPr>
          <w:rFonts w:hint="eastAsia" w:ascii="仿宋" w:hAnsi="仿宋" w:eastAsia="仿宋" w:cs="仿宋"/>
          <w:sz w:val="32"/>
          <w:szCs w:val="32"/>
        </w:rPr>
        <w:t>国际领先水平</w:t>
      </w:r>
      <w:bookmarkEnd w:id="6"/>
      <w:r>
        <w:rPr>
          <w:rFonts w:hint="eastAsia" w:ascii="仿宋" w:hAnsi="仿宋" w:eastAsia="仿宋" w:cs="仿宋"/>
          <w:sz w:val="32"/>
          <w:szCs w:val="32"/>
        </w:rPr>
        <w:t>，220kV高压电缆达到国际先进水平，填补了行业空白。产品成功落地 “一带一路” 重点海外工程——越南胡志明市高科技园区（SHTP）110kV 变电站扩建项目，</w:t>
      </w:r>
      <w:bookmarkStart w:id="7" w:name="OLE_LINK52"/>
      <w:r>
        <w:rPr>
          <w:rFonts w:hint="eastAsia" w:ascii="仿宋" w:hAnsi="仿宋" w:eastAsia="仿宋" w:cs="仿宋"/>
          <w:sz w:val="32"/>
          <w:szCs w:val="32"/>
        </w:rPr>
        <w:t>实现国产高端电缆成套技术在东南亚高新产业电网场景的规模化海外应用</w:t>
      </w:r>
      <w:bookmarkEnd w:id="7"/>
      <w:r>
        <w:rPr>
          <w:rFonts w:hint="eastAsia" w:ascii="仿宋" w:hAnsi="仿宋" w:eastAsia="仿宋" w:cs="仿宋"/>
          <w:sz w:val="32"/>
          <w:szCs w:val="32"/>
        </w:rPr>
        <w:t>。近两年新增销售额33.01亿元，新增利润5.61亿元，新增税收5414万元，创汇1.72亿美元</w:t>
      </w:r>
      <w:r>
        <w:rPr>
          <w:rFonts w:hint="eastAsia" w:ascii="仿宋" w:hAnsi="仿宋" w:eastAsia="仿宋" w:cs="仿宋"/>
          <w:spacing w:val="-6"/>
          <w:sz w:val="32"/>
          <w:szCs w:val="32"/>
        </w:rPr>
        <w:t>，为保障</w:t>
      </w:r>
      <w:r>
        <w:rPr>
          <w:rFonts w:hint="eastAsia" w:ascii="仿宋" w:hAnsi="仿宋" w:eastAsia="仿宋" w:cs="仿宋"/>
          <w:sz w:val="32"/>
          <w:szCs w:val="32"/>
        </w:rPr>
        <w:t>电力可靠供应提供了重要支撑，对于落实共建 “一带一路” 倡议、推动电力装备产业出海意义深远。</w:t>
      </w:r>
    </w:p>
    <w:p>
      <w:pPr>
        <w:spacing w:before="115" w:line="240" w:lineRule="auto"/>
        <w:ind w:left="733"/>
        <w:rPr>
          <w:rFonts w:ascii="黑体" w:hAnsi="黑体" w:eastAsia="黑体" w:cs="黑体"/>
          <w:spacing w:val="-2"/>
          <w:sz w:val="32"/>
          <w:szCs w:val="32"/>
        </w:rPr>
      </w:pPr>
      <w:r>
        <w:rPr>
          <w:rFonts w:ascii="黑体" w:hAnsi="黑体" w:eastAsia="黑体" w:cs="黑体"/>
          <w:spacing w:val="-2"/>
          <w:sz w:val="32"/>
          <w:szCs w:val="32"/>
        </w:rPr>
        <w:t>五、主要知识产权和标准规范等目录</w:t>
      </w:r>
    </w:p>
    <w:tbl>
      <w:tblPr>
        <w:tblStyle w:val="6"/>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4"/>
        <w:gridCol w:w="727"/>
        <w:gridCol w:w="3328"/>
        <w:gridCol w:w="888"/>
        <w:gridCol w:w="1216"/>
        <w:gridCol w:w="20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blHeader/>
        </w:trPr>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知识产权（标准）类别</w:t>
            </w:r>
          </w:p>
        </w:tc>
        <w:tc>
          <w:tcPr>
            <w:tcW w:w="19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知识产权（标准）具体名称</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国家（地区）</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授权（标准发布）日期</w:t>
            </w:r>
          </w:p>
        </w:tc>
        <w:tc>
          <w:tcPr>
            <w:tcW w:w="1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证书编号（标准批准发布</w:t>
            </w:r>
            <w:bookmarkStart w:id="8" w:name="_GoBack"/>
            <w:bookmarkEnd w:id="8"/>
            <w:r>
              <w:rPr>
                <w:rFonts w:hint="eastAsia" w:ascii="宋体" w:hAnsi="宋体" w:eastAsia="宋体" w:cs="宋体"/>
                <w:b/>
                <w:bCs/>
                <w:i w:val="0"/>
                <w:iCs w:val="0"/>
                <w:snapToGrid w:val="0"/>
                <w:color w:val="000000"/>
                <w:kern w:val="0"/>
                <w:sz w:val="20"/>
                <w:szCs w:val="20"/>
                <w:u w:val="none"/>
                <w:lang w:val="en-US" w:eastAsia="zh-CN" w:bidi="ar"/>
              </w:rPr>
              <w:t>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1</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国家标准</w:t>
            </w:r>
          </w:p>
        </w:tc>
        <w:tc>
          <w:tcPr>
            <w:tcW w:w="19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额定电压66kV(Um=72.5kV)110kV(Um=126kV)交联聚乙烯绝缘电力电缆及其附件</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中国</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2024.9.29</w:t>
            </w:r>
          </w:p>
        </w:tc>
        <w:tc>
          <w:tcPr>
            <w:tcW w:w="1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国家市场监督管理总局国家标准化管理委员会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2</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国家标准</w:t>
            </w:r>
          </w:p>
        </w:tc>
        <w:tc>
          <w:tcPr>
            <w:tcW w:w="19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额定电压500kV及以下直流输电用挤包绝缘电力电缆系统 第2部分 直流陆地电缆；第4部分 电缆附件</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中国</w:t>
            </w:r>
          </w:p>
        </w:tc>
        <w:tc>
          <w:tcPr>
            <w:tcW w:w="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2021/7/1</w:t>
            </w:r>
          </w:p>
        </w:tc>
        <w:tc>
          <w:tcPr>
            <w:tcW w:w="1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国家市场监督管理总局；国家标准化管理委员会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3</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团体标准</w:t>
            </w:r>
          </w:p>
        </w:tc>
        <w:tc>
          <w:tcPr>
            <w:tcW w:w="19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66kV～500kV交联聚乙烯绝缘复合平滑铝套电力电缆</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中国</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2022.10.27</w:t>
            </w:r>
          </w:p>
        </w:tc>
        <w:tc>
          <w:tcPr>
            <w:tcW w:w="1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中国电器工业协会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4</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发明</w:t>
            </w:r>
          </w:p>
        </w:tc>
        <w:tc>
          <w:tcPr>
            <w:tcW w:w="19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一种电缆半导电缓冲阻水复合带、电缆及制造方法</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中国</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2024/3/12</w:t>
            </w:r>
          </w:p>
        </w:tc>
        <w:tc>
          <w:tcPr>
            <w:tcW w:w="1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6775800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5</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论文</w:t>
            </w:r>
          </w:p>
        </w:tc>
        <w:tc>
          <w:tcPr>
            <w:tcW w:w="19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高压皱纹铝护套电缆缓冲层电烧蚀机理与改进</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中国</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2025/3/20</w:t>
            </w:r>
          </w:p>
        </w:tc>
        <w:tc>
          <w:tcPr>
            <w:tcW w:w="1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哈尔滨理工大学学报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6</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发明</w:t>
            </w:r>
          </w:p>
        </w:tc>
        <w:tc>
          <w:tcPr>
            <w:tcW w:w="19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一种自循环环保型铜拉丝抗氧化装置</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中国</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2021/1/22</w:t>
            </w:r>
          </w:p>
        </w:tc>
        <w:tc>
          <w:tcPr>
            <w:tcW w:w="1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4215725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7</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发明</w:t>
            </w:r>
          </w:p>
        </w:tc>
        <w:tc>
          <w:tcPr>
            <w:tcW w:w="19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厚度监测装置、自动生产系统以及厚度检测方法</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中国</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2024/1/19</w:t>
            </w:r>
          </w:p>
        </w:tc>
        <w:tc>
          <w:tcPr>
            <w:tcW w:w="1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6632757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8</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发明</w:t>
            </w:r>
          </w:p>
        </w:tc>
        <w:tc>
          <w:tcPr>
            <w:tcW w:w="19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绝缘材料及其制备方法和应用</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中国</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2025/2/28</w:t>
            </w:r>
          </w:p>
        </w:tc>
        <w:tc>
          <w:tcPr>
            <w:tcW w:w="1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7768201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9</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发明</w:t>
            </w:r>
          </w:p>
        </w:tc>
        <w:tc>
          <w:tcPr>
            <w:tcW w:w="19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二元复合硅橡胶材料及其制备方法和用途</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中国</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2022/7/22</w:t>
            </w:r>
          </w:p>
        </w:tc>
        <w:tc>
          <w:tcPr>
            <w:tcW w:w="1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59652104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10</w:t>
            </w:r>
          </w:p>
        </w:tc>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发明</w:t>
            </w:r>
          </w:p>
        </w:tc>
        <w:tc>
          <w:tcPr>
            <w:tcW w:w="19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一种电力电缆局部放电检测装置以及电力故障检测系统</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中国</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2024/5/7</w:t>
            </w:r>
          </w:p>
        </w:tc>
        <w:tc>
          <w:tcPr>
            <w:tcW w:w="11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6973514</w:t>
            </w:r>
          </w:p>
        </w:tc>
      </w:tr>
    </w:tbl>
    <w:p>
      <w:pPr>
        <w:spacing w:before="290" w:line="240" w:lineRule="auto"/>
        <w:ind w:left="734"/>
        <w:outlineLvl w:val="1"/>
        <w:rPr>
          <w:rFonts w:ascii="黑体" w:hAnsi="黑体" w:eastAsia="黑体" w:cs="黑体"/>
          <w:sz w:val="30"/>
          <w:szCs w:val="30"/>
        </w:rPr>
      </w:pPr>
      <w:r>
        <w:rPr>
          <w:rFonts w:ascii="黑体" w:hAnsi="黑体" w:eastAsia="黑体" w:cs="黑体"/>
          <w:spacing w:val="-2"/>
          <w:sz w:val="30"/>
          <w:szCs w:val="30"/>
        </w:rPr>
        <w:t>六、主要完成人、主要完成单位情况</w:t>
      </w:r>
    </w:p>
    <w:p>
      <w:pPr>
        <w:spacing w:line="240" w:lineRule="auto"/>
      </w:pPr>
    </w:p>
    <w:tbl>
      <w:tblPr>
        <w:tblStyle w:val="9"/>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0"/>
        <w:gridCol w:w="694"/>
        <w:gridCol w:w="3446"/>
        <w:gridCol w:w="37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8532" w:type="dxa"/>
            <w:gridSpan w:val="4"/>
            <w:vAlign w:val="top"/>
          </w:tcPr>
          <w:p>
            <w:pPr>
              <w:pStyle w:val="10"/>
              <w:spacing w:before="35" w:line="240" w:lineRule="auto"/>
              <w:ind w:left="3538"/>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8"/>
                <w:sz w:val="20"/>
                <w:szCs w:val="20"/>
              </w:rPr>
              <w:t>主要完成人情况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pPr>
              <w:pStyle w:val="10"/>
              <w:spacing w:before="33" w:line="240" w:lineRule="auto"/>
              <w:ind w:left="126"/>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4"/>
                <w:sz w:val="20"/>
                <w:szCs w:val="20"/>
              </w:rPr>
              <w:t>排名</w:t>
            </w:r>
          </w:p>
        </w:tc>
        <w:tc>
          <w:tcPr>
            <w:tcW w:w="694" w:type="dxa"/>
            <w:vAlign w:val="top"/>
          </w:tcPr>
          <w:p>
            <w:pPr>
              <w:pStyle w:val="10"/>
              <w:spacing w:before="33" w:line="240" w:lineRule="auto"/>
              <w:ind w:left="418"/>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4"/>
                <w:sz w:val="20"/>
                <w:szCs w:val="20"/>
              </w:rPr>
              <w:t>姓名</w:t>
            </w:r>
          </w:p>
        </w:tc>
        <w:tc>
          <w:tcPr>
            <w:tcW w:w="3446" w:type="dxa"/>
            <w:vAlign w:val="top"/>
          </w:tcPr>
          <w:p>
            <w:pPr>
              <w:pStyle w:val="10"/>
              <w:spacing w:before="33" w:line="240" w:lineRule="auto"/>
              <w:ind w:left="1243"/>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6"/>
                <w:sz w:val="20"/>
                <w:szCs w:val="20"/>
              </w:rPr>
              <w:t>工作单位</w:t>
            </w:r>
          </w:p>
        </w:tc>
        <w:tc>
          <w:tcPr>
            <w:tcW w:w="3732" w:type="dxa"/>
            <w:vAlign w:val="top"/>
          </w:tcPr>
          <w:p>
            <w:pPr>
              <w:pStyle w:val="10"/>
              <w:spacing w:before="33" w:line="240" w:lineRule="auto"/>
              <w:ind w:left="1242"/>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6"/>
                <w:sz w:val="20"/>
                <w:szCs w:val="20"/>
              </w:rPr>
              <w:t>完成单位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pPr>
              <w:spacing w:before="67" w:line="240" w:lineRule="auto"/>
              <w:ind w:left="298"/>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w:t>
            </w:r>
          </w:p>
        </w:tc>
        <w:tc>
          <w:tcPr>
            <w:tcW w:w="694" w:type="dxa"/>
            <w:vAlign w:val="center"/>
          </w:tcPr>
          <w:p>
            <w:pPr>
              <w:spacing w:before="67"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龙海泳</w:t>
            </w:r>
          </w:p>
        </w:tc>
        <w:tc>
          <w:tcPr>
            <w:tcW w:w="3446" w:type="dxa"/>
            <w:vAlign w:val="center"/>
          </w:tcPr>
          <w:p>
            <w:pPr>
              <w:spacing w:before="67" w:line="24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特变电工山东鲁能泰山电缆有限公司</w:t>
            </w:r>
          </w:p>
        </w:tc>
        <w:tc>
          <w:tcPr>
            <w:tcW w:w="3732" w:type="dxa"/>
            <w:vAlign w:val="center"/>
          </w:tcPr>
          <w:p>
            <w:pPr>
              <w:spacing w:before="67" w:line="24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特变电工山东鲁能泰山电缆有限公司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pPr>
              <w:spacing w:before="67" w:line="240" w:lineRule="auto"/>
              <w:ind w:left="298"/>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w:t>
            </w:r>
          </w:p>
        </w:tc>
        <w:tc>
          <w:tcPr>
            <w:tcW w:w="694" w:type="dxa"/>
            <w:vAlign w:val="center"/>
          </w:tcPr>
          <w:p>
            <w:pPr>
              <w:spacing w:before="67"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王猛</w:t>
            </w:r>
          </w:p>
        </w:tc>
        <w:tc>
          <w:tcPr>
            <w:tcW w:w="3446" w:type="dxa"/>
            <w:shd w:val="clear" w:color="auto" w:fill="auto"/>
            <w:vAlign w:val="center"/>
          </w:tcPr>
          <w:p>
            <w:pPr>
              <w:spacing w:before="67" w:line="240" w:lineRule="auto"/>
              <w:jc w:val="center"/>
              <w:rPr>
                <w:rFonts w:hint="eastAsia" w:asciiTheme="minorEastAsia" w:hAnsiTheme="minorEastAsia" w:eastAsiaTheme="minorEastAsia" w:cstheme="minorEastAsia"/>
                <w:snapToGrid w:val="0"/>
                <w:color w:val="000000"/>
                <w:kern w:val="0"/>
                <w:sz w:val="20"/>
                <w:szCs w:val="20"/>
                <w:lang w:val="en-US" w:eastAsia="en-US" w:bidi="ar-SA"/>
              </w:rPr>
            </w:pPr>
            <w:r>
              <w:rPr>
                <w:rFonts w:hint="eastAsia" w:asciiTheme="minorEastAsia" w:hAnsiTheme="minorEastAsia" w:eastAsiaTheme="minorEastAsia" w:cstheme="minorEastAsia"/>
                <w:sz w:val="20"/>
                <w:szCs w:val="20"/>
              </w:rPr>
              <w:t>特变电工山东鲁能泰山电缆有限公司</w:t>
            </w:r>
          </w:p>
        </w:tc>
        <w:tc>
          <w:tcPr>
            <w:tcW w:w="3732" w:type="dxa"/>
            <w:shd w:val="clear" w:color="auto" w:fill="auto"/>
            <w:vAlign w:val="center"/>
          </w:tcPr>
          <w:p>
            <w:pPr>
              <w:spacing w:before="67" w:line="240" w:lineRule="auto"/>
              <w:jc w:val="center"/>
              <w:rPr>
                <w:rFonts w:hint="eastAsia" w:asciiTheme="minorEastAsia" w:hAnsiTheme="minorEastAsia" w:eastAsiaTheme="minorEastAsia" w:cstheme="minorEastAsia"/>
                <w:snapToGrid w:val="0"/>
                <w:color w:val="000000"/>
                <w:kern w:val="0"/>
                <w:sz w:val="20"/>
                <w:szCs w:val="20"/>
                <w:lang w:val="en-US" w:eastAsia="en-US" w:bidi="ar-SA"/>
              </w:rPr>
            </w:pPr>
            <w:r>
              <w:rPr>
                <w:rFonts w:hint="eastAsia" w:asciiTheme="minorEastAsia" w:hAnsiTheme="minorEastAsia" w:eastAsiaTheme="minorEastAsia" w:cstheme="minorEastAsia"/>
                <w:sz w:val="20"/>
                <w:szCs w:val="20"/>
              </w:rPr>
              <w:t>特变电工山东鲁能泰山电缆有限公司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pPr>
              <w:spacing w:before="67" w:line="240" w:lineRule="auto"/>
              <w:ind w:left="298"/>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3</w:t>
            </w:r>
          </w:p>
        </w:tc>
        <w:tc>
          <w:tcPr>
            <w:tcW w:w="694" w:type="dxa"/>
            <w:vAlign w:val="center"/>
          </w:tcPr>
          <w:p>
            <w:pPr>
              <w:spacing w:before="67"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李国倡</w:t>
            </w:r>
          </w:p>
        </w:tc>
        <w:tc>
          <w:tcPr>
            <w:tcW w:w="3446" w:type="dxa"/>
            <w:vAlign w:val="center"/>
          </w:tcPr>
          <w:p>
            <w:pPr>
              <w:spacing w:before="67" w:line="24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青岛科技大学</w:t>
            </w:r>
          </w:p>
        </w:tc>
        <w:tc>
          <w:tcPr>
            <w:tcW w:w="3732" w:type="dxa"/>
            <w:vAlign w:val="center"/>
          </w:tcPr>
          <w:p>
            <w:pPr>
              <w:spacing w:before="67" w:line="24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青岛科技大学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pPr>
              <w:spacing w:before="67" w:line="240" w:lineRule="auto"/>
              <w:ind w:left="298"/>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4</w:t>
            </w:r>
          </w:p>
        </w:tc>
        <w:tc>
          <w:tcPr>
            <w:tcW w:w="694" w:type="dxa"/>
            <w:vAlign w:val="center"/>
          </w:tcPr>
          <w:p>
            <w:pPr>
              <w:spacing w:before="67"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王爽</w:t>
            </w:r>
          </w:p>
        </w:tc>
        <w:tc>
          <w:tcPr>
            <w:tcW w:w="3446" w:type="dxa"/>
            <w:shd w:val="clear" w:color="auto" w:fill="auto"/>
            <w:vAlign w:val="center"/>
          </w:tcPr>
          <w:p>
            <w:pPr>
              <w:spacing w:before="67" w:line="240" w:lineRule="auto"/>
              <w:jc w:val="center"/>
              <w:rPr>
                <w:rFonts w:hint="eastAsia" w:asciiTheme="minorEastAsia" w:hAnsiTheme="minorEastAsia" w:eastAsiaTheme="minorEastAsia" w:cstheme="minorEastAsia"/>
                <w:snapToGrid w:val="0"/>
                <w:color w:val="000000"/>
                <w:kern w:val="0"/>
                <w:sz w:val="20"/>
                <w:szCs w:val="20"/>
                <w:lang w:val="en-US" w:eastAsia="en-US" w:bidi="ar-SA"/>
              </w:rPr>
            </w:pPr>
            <w:r>
              <w:rPr>
                <w:rFonts w:hint="eastAsia" w:asciiTheme="minorEastAsia" w:hAnsiTheme="minorEastAsia" w:eastAsiaTheme="minorEastAsia" w:cstheme="minorEastAsia"/>
                <w:sz w:val="20"/>
                <w:szCs w:val="20"/>
              </w:rPr>
              <w:t>特变电工山东鲁能泰山电缆有限公司</w:t>
            </w:r>
          </w:p>
        </w:tc>
        <w:tc>
          <w:tcPr>
            <w:tcW w:w="3732" w:type="dxa"/>
            <w:shd w:val="clear" w:color="auto" w:fill="auto"/>
            <w:vAlign w:val="center"/>
          </w:tcPr>
          <w:p>
            <w:pPr>
              <w:spacing w:before="67" w:line="240" w:lineRule="auto"/>
              <w:jc w:val="center"/>
              <w:rPr>
                <w:rFonts w:hint="eastAsia" w:asciiTheme="minorEastAsia" w:hAnsiTheme="minorEastAsia" w:eastAsiaTheme="minorEastAsia" w:cstheme="minorEastAsia"/>
                <w:snapToGrid w:val="0"/>
                <w:color w:val="000000"/>
                <w:kern w:val="0"/>
                <w:sz w:val="20"/>
                <w:szCs w:val="20"/>
                <w:lang w:val="en-US" w:eastAsia="en-US" w:bidi="ar-SA"/>
              </w:rPr>
            </w:pPr>
            <w:r>
              <w:rPr>
                <w:rFonts w:hint="eastAsia" w:asciiTheme="minorEastAsia" w:hAnsiTheme="minorEastAsia" w:eastAsiaTheme="minorEastAsia" w:cstheme="minorEastAsia"/>
                <w:sz w:val="20"/>
                <w:szCs w:val="20"/>
              </w:rPr>
              <w:t>特变电工山东鲁能泰山电缆有限公司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pPr>
              <w:spacing w:before="67" w:line="240" w:lineRule="auto"/>
              <w:ind w:left="298"/>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5</w:t>
            </w:r>
          </w:p>
        </w:tc>
        <w:tc>
          <w:tcPr>
            <w:tcW w:w="694" w:type="dxa"/>
            <w:vAlign w:val="center"/>
          </w:tcPr>
          <w:p>
            <w:pPr>
              <w:spacing w:before="67"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臧德峰</w:t>
            </w:r>
          </w:p>
        </w:tc>
        <w:tc>
          <w:tcPr>
            <w:tcW w:w="3446" w:type="dxa"/>
            <w:shd w:val="clear" w:color="auto" w:fill="auto"/>
            <w:vAlign w:val="center"/>
          </w:tcPr>
          <w:p>
            <w:pPr>
              <w:spacing w:before="67" w:line="240" w:lineRule="auto"/>
              <w:jc w:val="center"/>
              <w:rPr>
                <w:rFonts w:hint="eastAsia" w:asciiTheme="minorEastAsia" w:hAnsiTheme="minorEastAsia" w:eastAsiaTheme="minorEastAsia" w:cstheme="minorEastAsia"/>
                <w:snapToGrid w:val="0"/>
                <w:color w:val="000000"/>
                <w:kern w:val="0"/>
                <w:sz w:val="20"/>
                <w:szCs w:val="20"/>
                <w:lang w:val="en-US" w:eastAsia="en-US" w:bidi="ar-SA"/>
              </w:rPr>
            </w:pPr>
            <w:r>
              <w:rPr>
                <w:rFonts w:hint="eastAsia" w:asciiTheme="minorEastAsia" w:hAnsiTheme="minorEastAsia" w:eastAsiaTheme="minorEastAsia" w:cstheme="minorEastAsia"/>
                <w:sz w:val="20"/>
                <w:szCs w:val="20"/>
              </w:rPr>
              <w:t>特变电工山东鲁能泰山电缆有限公司</w:t>
            </w:r>
          </w:p>
        </w:tc>
        <w:tc>
          <w:tcPr>
            <w:tcW w:w="3732" w:type="dxa"/>
            <w:shd w:val="clear" w:color="auto" w:fill="auto"/>
            <w:vAlign w:val="center"/>
          </w:tcPr>
          <w:p>
            <w:pPr>
              <w:spacing w:before="67" w:line="240" w:lineRule="auto"/>
              <w:jc w:val="center"/>
              <w:rPr>
                <w:rFonts w:hint="eastAsia" w:asciiTheme="minorEastAsia" w:hAnsiTheme="minorEastAsia" w:eastAsiaTheme="minorEastAsia" w:cstheme="minorEastAsia"/>
                <w:snapToGrid w:val="0"/>
                <w:color w:val="000000"/>
                <w:kern w:val="0"/>
                <w:sz w:val="20"/>
                <w:szCs w:val="20"/>
                <w:lang w:val="en-US" w:eastAsia="en-US" w:bidi="ar-SA"/>
              </w:rPr>
            </w:pPr>
            <w:r>
              <w:rPr>
                <w:rFonts w:hint="eastAsia" w:asciiTheme="minorEastAsia" w:hAnsiTheme="minorEastAsia" w:eastAsiaTheme="minorEastAsia" w:cstheme="minorEastAsia"/>
                <w:sz w:val="20"/>
                <w:szCs w:val="20"/>
              </w:rPr>
              <w:t>特变电工山东鲁能泰山电缆有限公司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pPr>
              <w:spacing w:before="67" w:line="240" w:lineRule="auto"/>
              <w:ind w:left="298"/>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6</w:t>
            </w:r>
          </w:p>
        </w:tc>
        <w:tc>
          <w:tcPr>
            <w:tcW w:w="694" w:type="dxa"/>
            <w:vAlign w:val="center"/>
          </w:tcPr>
          <w:p>
            <w:pPr>
              <w:spacing w:before="67"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魏艳慧</w:t>
            </w:r>
          </w:p>
        </w:tc>
        <w:tc>
          <w:tcPr>
            <w:tcW w:w="3446" w:type="dxa"/>
            <w:shd w:val="clear" w:color="auto" w:fill="auto"/>
            <w:vAlign w:val="center"/>
          </w:tcPr>
          <w:p>
            <w:pPr>
              <w:spacing w:before="67" w:line="240" w:lineRule="auto"/>
              <w:jc w:val="center"/>
              <w:rPr>
                <w:rFonts w:hint="eastAsia" w:asciiTheme="minorEastAsia" w:hAnsiTheme="minorEastAsia" w:eastAsiaTheme="minorEastAsia" w:cstheme="minorEastAsia"/>
                <w:snapToGrid w:val="0"/>
                <w:color w:val="000000"/>
                <w:kern w:val="0"/>
                <w:sz w:val="20"/>
                <w:szCs w:val="20"/>
                <w:lang w:val="en-US" w:eastAsia="en-US" w:bidi="ar-SA"/>
              </w:rPr>
            </w:pPr>
            <w:r>
              <w:rPr>
                <w:rFonts w:hint="eastAsia" w:asciiTheme="minorEastAsia" w:hAnsiTheme="minorEastAsia" w:eastAsiaTheme="minorEastAsia" w:cstheme="minorEastAsia"/>
                <w:sz w:val="20"/>
                <w:szCs w:val="20"/>
              </w:rPr>
              <w:t>青岛科技大学</w:t>
            </w:r>
          </w:p>
        </w:tc>
        <w:tc>
          <w:tcPr>
            <w:tcW w:w="3732" w:type="dxa"/>
            <w:shd w:val="clear" w:color="auto" w:fill="auto"/>
            <w:vAlign w:val="center"/>
          </w:tcPr>
          <w:p>
            <w:pPr>
              <w:spacing w:before="67" w:line="240" w:lineRule="auto"/>
              <w:jc w:val="center"/>
              <w:rPr>
                <w:rFonts w:hint="eastAsia" w:asciiTheme="minorEastAsia" w:hAnsiTheme="minorEastAsia" w:eastAsiaTheme="minorEastAsia" w:cstheme="minorEastAsia"/>
                <w:snapToGrid w:val="0"/>
                <w:color w:val="000000"/>
                <w:kern w:val="0"/>
                <w:sz w:val="20"/>
                <w:szCs w:val="20"/>
                <w:lang w:val="en-US" w:eastAsia="en-US" w:bidi="ar-SA"/>
              </w:rPr>
            </w:pPr>
            <w:r>
              <w:rPr>
                <w:rFonts w:hint="eastAsia" w:asciiTheme="minorEastAsia" w:hAnsiTheme="minorEastAsia" w:eastAsiaTheme="minorEastAsia" w:cstheme="minorEastAsia"/>
                <w:sz w:val="20"/>
                <w:szCs w:val="20"/>
              </w:rPr>
              <w:t>青岛科技大学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pPr>
              <w:spacing w:before="67" w:line="240" w:lineRule="auto"/>
              <w:ind w:left="298"/>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7</w:t>
            </w:r>
          </w:p>
        </w:tc>
        <w:tc>
          <w:tcPr>
            <w:tcW w:w="694" w:type="dxa"/>
            <w:vAlign w:val="center"/>
          </w:tcPr>
          <w:p>
            <w:pPr>
              <w:spacing w:before="67"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王洪祥</w:t>
            </w:r>
          </w:p>
        </w:tc>
        <w:tc>
          <w:tcPr>
            <w:tcW w:w="3446" w:type="dxa"/>
            <w:shd w:val="clear" w:color="auto" w:fill="auto"/>
            <w:vAlign w:val="center"/>
          </w:tcPr>
          <w:p>
            <w:pPr>
              <w:spacing w:before="67" w:line="240" w:lineRule="auto"/>
              <w:jc w:val="center"/>
              <w:rPr>
                <w:rFonts w:hint="eastAsia" w:asciiTheme="minorEastAsia" w:hAnsiTheme="minorEastAsia" w:eastAsiaTheme="minorEastAsia" w:cstheme="minorEastAsia"/>
                <w:snapToGrid w:val="0"/>
                <w:color w:val="000000"/>
                <w:kern w:val="0"/>
                <w:sz w:val="20"/>
                <w:szCs w:val="20"/>
                <w:lang w:val="en-US" w:eastAsia="en-US" w:bidi="ar-SA"/>
              </w:rPr>
            </w:pPr>
            <w:r>
              <w:rPr>
                <w:rFonts w:hint="eastAsia" w:asciiTheme="minorEastAsia" w:hAnsiTheme="minorEastAsia" w:eastAsiaTheme="minorEastAsia" w:cstheme="minorEastAsia"/>
                <w:sz w:val="20"/>
                <w:szCs w:val="20"/>
              </w:rPr>
              <w:t>特变电工山东鲁能泰山电缆有限公司</w:t>
            </w:r>
          </w:p>
        </w:tc>
        <w:tc>
          <w:tcPr>
            <w:tcW w:w="3732" w:type="dxa"/>
            <w:shd w:val="clear" w:color="auto" w:fill="auto"/>
            <w:vAlign w:val="center"/>
          </w:tcPr>
          <w:p>
            <w:pPr>
              <w:spacing w:before="67" w:line="240" w:lineRule="auto"/>
              <w:jc w:val="center"/>
              <w:rPr>
                <w:rFonts w:hint="eastAsia" w:asciiTheme="minorEastAsia" w:hAnsiTheme="minorEastAsia" w:eastAsiaTheme="minorEastAsia" w:cstheme="minorEastAsia"/>
                <w:snapToGrid w:val="0"/>
                <w:color w:val="000000"/>
                <w:kern w:val="0"/>
                <w:sz w:val="20"/>
                <w:szCs w:val="20"/>
                <w:lang w:val="en-US" w:eastAsia="en-US" w:bidi="ar-SA"/>
              </w:rPr>
            </w:pPr>
            <w:r>
              <w:rPr>
                <w:rFonts w:hint="eastAsia" w:asciiTheme="minorEastAsia" w:hAnsiTheme="minorEastAsia" w:eastAsiaTheme="minorEastAsia" w:cstheme="minorEastAsia"/>
                <w:sz w:val="20"/>
                <w:szCs w:val="20"/>
              </w:rPr>
              <w:t>特变电工山东鲁能泰山电缆有限公司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pPr>
              <w:spacing w:before="67" w:line="240" w:lineRule="auto"/>
              <w:ind w:left="298"/>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8</w:t>
            </w:r>
          </w:p>
        </w:tc>
        <w:tc>
          <w:tcPr>
            <w:tcW w:w="694" w:type="dxa"/>
            <w:vAlign w:val="center"/>
          </w:tcPr>
          <w:p>
            <w:pPr>
              <w:spacing w:before="67"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高俊国</w:t>
            </w:r>
          </w:p>
        </w:tc>
        <w:tc>
          <w:tcPr>
            <w:tcW w:w="3446" w:type="dxa"/>
            <w:vAlign w:val="center"/>
          </w:tcPr>
          <w:p>
            <w:pPr>
              <w:spacing w:before="67" w:line="24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哈尔滨理工大学</w:t>
            </w:r>
          </w:p>
        </w:tc>
        <w:tc>
          <w:tcPr>
            <w:tcW w:w="3732" w:type="dxa"/>
            <w:vAlign w:val="center"/>
          </w:tcPr>
          <w:p>
            <w:pPr>
              <w:spacing w:before="67" w:line="24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哈尔滨理工大学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pPr>
              <w:spacing w:before="67" w:line="240" w:lineRule="auto"/>
              <w:ind w:left="298"/>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9</w:t>
            </w:r>
          </w:p>
        </w:tc>
        <w:tc>
          <w:tcPr>
            <w:tcW w:w="694" w:type="dxa"/>
            <w:vAlign w:val="center"/>
          </w:tcPr>
          <w:p>
            <w:pPr>
              <w:spacing w:before="67"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陈猛猛</w:t>
            </w:r>
          </w:p>
        </w:tc>
        <w:tc>
          <w:tcPr>
            <w:tcW w:w="3446" w:type="dxa"/>
            <w:vAlign w:val="center"/>
          </w:tcPr>
          <w:p>
            <w:pPr>
              <w:spacing w:before="67" w:line="24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特变电工昭和（山东）电缆附件有限公司</w:t>
            </w:r>
          </w:p>
        </w:tc>
        <w:tc>
          <w:tcPr>
            <w:tcW w:w="3732" w:type="dxa"/>
            <w:vAlign w:val="center"/>
          </w:tcPr>
          <w:p>
            <w:pPr>
              <w:spacing w:before="67" w:line="24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特变电工昭和（山东）电缆附件有限公司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60" w:type="dxa"/>
            <w:vAlign w:val="top"/>
          </w:tcPr>
          <w:p>
            <w:pPr>
              <w:spacing w:before="67" w:line="240" w:lineRule="auto"/>
              <w:ind w:left="298"/>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10</w:t>
            </w:r>
          </w:p>
        </w:tc>
        <w:tc>
          <w:tcPr>
            <w:tcW w:w="694" w:type="dxa"/>
            <w:vAlign w:val="center"/>
          </w:tcPr>
          <w:p>
            <w:pPr>
              <w:spacing w:before="67" w:line="24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张雪凯</w:t>
            </w:r>
          </w:p>
        </w:tc>
        <w:tc>
          <w:tcPr>
            <w:tcW w:w="3446" w:type="dxa"/>
            <w:vAlign w:val="center"/>
          </w:tcPr>
          <w:p>
            <w:pPr>
              <w:spacing w:before="67" w:line="24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特变电工(山东)电力科技有限公司</w:t>
            </w:r>
          </w:p>
        </w:tc>
        <w:tc>
          <w:tcPr>
            <w:tcW w:w="3732" w:type="dxa"/>
            <w:vAlign w:val="center"/>
          </w:tcPr>
          <w:p>
            <w:pPr>
              <w:spacing w:before="67" w:line="24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特变电工(山东)电力科技有限公司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8532" w:type="dxa"/>
            <w:gridSpan w:val="4"/>
            <w:vAlign w:val="top"/>
          </w:tcPr>
          <w:p>
            <w:pPr>
              <w:pStyle w:val="10"/>
              <w:spacing w:before="146" w:line="240" w:lineRule="auto"/>
              <w:ind w:left="3643"/>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7"/>
                <w:sz w:val="20"/>
                <w:szCs w:val="20"/>
              </w:rPr>
              <w:t>主要完成单位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pPr>
              <w:pStyle w:val="10"/>
              <w:spacing w:before="35" w:line="240" w:lineRule="auto"/>
              <w:ind w:left="126"/>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4"/>
                <w:sz w:val="20"/>
                <w:szCs w:val="20"/>
              </w:rPr>
              <w:t>排名</w:t>
            </w:r>
          </w:p>
        </w:tc>
        <w:tc>
          <w:tcPr>
            <w:tcW w:w="7872" w:type="dxa"/>
            <w:gridSpan w:val="3"/>
            <w:vAlign w:val="top"/>
          </w:tcPr>
          <w:p>
            <w:pPr>
              <w:pStyle w:val="10"/>
              <w:spacing w:before="35" w:line="240" w:lineRule="auto"/>
              <w:ind w:left="3521"/>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6"/>
                <w:sz w:val="20"/>
                <w:szCs w:val="20"/>
              </w:rPr>
              <w:t>单位名称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pPr>
              <w:spacing w:before="70" w:line="240" w:lineRule="auto"/>
              <w:ind w:left="298"/>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w:t>
            </w:r>
          </w:p>
        </w:tc>
        <w:tc>
          <w:tcPr>
            <w:tcW w:w="7872" w:type="dxa"/>
            <w:gridSpan w:val="3"/>
            <w:vAlign w:val="top"/>
          </w:tcPr>
          <w:p>
            <w:pPr>
              <w:pStyle w:val="10"/>
              <w:spacing w:before="35" w:line="240" w:lineRule="auto"/>
              <w:ind w:left="290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特变电工山东鲁能泰山电缆有限公司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pPr>
              <w:spacing w:before="70" w:line="240" w:lineRule="auto"/>
              <w:ind w:left="298"/>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2</w:t>
            </w:r>
          </w:p>
        </w:tc>
        <w:tc>
          <w:tcPr>
            <w:tcW w:w="7872" w:type="dxa"/>
            <w:gridSpan w:val="3"/>
            <w:vAlign w:val="top"/>
          </w:tcPr>
          <w:p>
            <w:pPr>
              <w:pStyle w:val="10"/>
              <w:spacing w:before="35" w:line="240" w:lineRule="auto"/>
              <w:ind w:left="290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青岛科技大学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pPr>
              <w:spacing w:before="70" w:line="240" w:lineRule="auto"/>
              <w:ind w:left="298"/>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3</w:t>
            </w:r>
          </w:p>
        </w:tc>
        <w:tc>
          <w:tcPr>
            <w:tcW w:w="7872" w:type="dxa"/>
            <w:gridSpan w:val="3"/>
            <w:vAlign w:val="top"/>
          </w:tcPr>
          <w:p>
            <w:pPr>
              <w:pStyle w:val="10"/>
              <w:spacing w:before="35" w:line="240" w:lineRule="auto"/>
              <w:ind w:left="290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特</w:t>
            </w:r>
            <w:r>
              <w:rPr>
                <w:rFonts w:hint="eastAsia" w:asciiTheme="minorEastAsia" w:hAnsiTheme="minorEastAsia" w:eastAsiaTheme="minorEastAsia" w:cstheme="minorEastAsia"/>
                <w:sz w:val="20"/>
                <w:szCs w:val="20"/>
              </w:rPr>
              <w:t>变电工昭和（山东）电缆附件有限公司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pPr>
              <w:spacing w:before="70" w:line="240" w:lineRule="auto"/>
              <w:ind w:left="298"/>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4</w:t>
            </w:r>
          </w:p>
        </w:tc>
        <w:tc>
          <w:tcPr>
            <w:tcW w:w="7872" w:type="dxa"/>
            <w:gridSpan w:val="3"/>
            <w:vAlign w:val="top"/>
          </w:tcPr>
          <w:p>
            <w:pPr>
              <w:pStyle w:val="10"/>
              <w:spacing w:before="35" w:line="240" w:lineRule="auto"/>
              <w:ind w:left="290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哈尔滨理工大学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pPr>
              <w:spacing w:before="70" w:line="240" w:lineRule="auto"/>
              <w:ind w:left="298"/>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5</w:t>
            </w:r>
          </w:p>
        </w:tc>
        <w:tc>
          <w:tcPr>
            <w:tcW w:w="7872" w:type="dxa"/>
            <w:gridSpan w:val="3"/>
            <w:vAlign w:val="top"/>
          </w:tcPr>
          <w:p>
            <w:pPr>
              <w:pStyle w:val="10"/>
              <w:spacing w:before="35" w:line="240" w:lineRule="auto"/>
              <w:ind w:left="290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特变电工(山东)电力科技有限公司</w:t>
            </w:r>
          </w:p>
        </w:tc>
      </w:tr>
    </w:tbl>
    <w:p>
      <w:pPr>
        <w:spacing w:line="240" w:lineRule="auto"/>
        <w:rPr>
          <w:rFonts w:ascii="Arial"/>
          <w:sz w:val="21"/>
        </w:rPr>
      </w:pPr>
    </w:p>
    <w:p>
      <w:pPr>
        <w:spacing w:line="240" w:lineRule="auto"/>
        <w:rPr>
          <w:rFonts w:hint="eastAsia" w:ascii="Arial"/>
          <w:sz w:val="21"/>
        </w:rPr>
      </w:pPr>
    </w:p>
    <w:sectPr>
      <w:footerReference r:id="rId5" w:type="default"/>
      <w:pgSz w:w="11906" w:h="16839"/>
      <w:pgMar w:top="1174" w:right="1684" w:bottom="1157" w:left="1684" w:header="0" w:footer="1196"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true"/>
  <w:bordersDoNotSurroundHeader w:val="false"/>
  <w:bordersDoNotSurroundFooter w:val="false"/>
  <w:documentProtection w:enforcement="0"/>
  <w:displayHorizontalDrawingGridEvery w:val="1"/>
  <w:displayVerticalDrawingGridEvery w:val="1"/>
  <w:noPunctuationKerning w:val="true"/>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59B24B4"/>
    <w:rsid w:val="0CCB047F"/>
    <w:rsid w:val="10973B61"/>
    <w:rsid w:val="11662347"/>
    <w:rsid w:val="12B40728"/>
    <w:rsid w:val="160C3C6F"/>
    <w:rsid w:val="194A5C14"/>
    <w:rsid w:val="1A766563"/>
    <w:rsid w:val="1B926E6E"/>
    <w:rsid w:val="1BD528D3"/>
    <w:rsid w:val="21C84A65"/>
    <w:rsid w:val="23C6058D"/>
    <w:rsid w:val="284B2378"/>
    <w:rsid w:val="2ECB6A58"/>
    <w:rsid w:val="340A6274"/>
    <w:rsid w:val="381902C4"/>
    <w:rsid w:val="3BE04BEB"/>
    <w:rsid w:val="3CD2120D"/>
    <w:rsid w:val="43A7763B"/>
    <w:rsid w:val="47C14A44"/>
    <w:rsid w:val="49033566"/>
    <w:rsid w:val="4C7D71E6"/>
    <w:rsid w:val="53BF59F0"/>
    <w:rsid w:val="56135281"/>
    <w:rsid w:val="61F03972"/>
    <w:rsid w:val="70904746"/>
    <w:rsid w:val="78D06865"/>
    <w:rsid w:val="7CA979E5"/>
    <w:rsid w:val="7EAE3841"/>
    <w:rsid w:val="7FFFC7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w:basedOn w:val="2"/>
    <w:qFormat/>
    <w:uiPriority w:val="0"/>
    <w:pPr>
      <w:ind w:firstLine="420" w:firstLineChars="100"/>
    </w:pPr>
  </w:style>
  <w:style w:type="table" w:styleId="7">
    <w:name w:val="Table Grid"/>
    <w:basedOn w:val="6"/>
    <w:qFormat/>
    <w:uiPriority w:val="59"/>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4"/>
      <w:szCs w:val="24"/>
      <w:lang w:val="en-US" w:eastAsia="en-US" w:bidi="ar-SA"/>
    </w:rPr>
  </w:style>
  <w:style w:type="character" w:customStyle="1" w:styleId="11">
    <w:name w:val="font51"/>
    <w:basedOn w:val="8"/>
    <w:qFormat/>
    <w:uiPriority w:val="0"/>
    <w:rPr>
      <w:rFonts w:hint="eastAsia" w:ascii="宋体" w:hAnsi="宋体" w:eastAsia="宋体" w:cs="宋体"/>
      <w:color w:val="000000"/>
      <w:sz w:val="20"/>
      <w:szCs w:val="20"/>
      <w:u w:val="none"/>
      <w:vertAlign w:val="subscript"/>
    </w:rPr>
  </w:style>
  <w:style w:type="character" w:customStyle="1" w:styleId="12">
    <w:name w:val="font41"/>
    <w:basedOn w:val="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2011</Words>
  <Characters>2190</Characters>
  <TotalTime>7</TotalTime>
  <ScaleCrop>false</ScaleCrop>
  <LinksUpToDate>false</LinksUpToDate>
  <CharactersWithSpaces>2202</CharactersWithSpaces>
  <Application>WPS Office_11.8.2.10290_F1E327BC-269C-435d-A152-05C5408002CA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2025-04-01T19:14:00Z</dcterms:created>
  <dc:creator>LIUFANGFANG</dc:creator>
  <cp:lastModifiedBy>usudhdf</cp:lastModifiedBy>
  <dcterms:modified xsi:type="dcterms:W3CDTF">2026-07-21T14:20:06Z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2026-07-16T15:08:53Z</vt:filetime>
  </property>
  <property fmtid="{D5CDD505-2E9C-101B-9397-08002B2CF9AE}" pid="4" name="KSOTemplateDocerSaveRecord">
    <vt:lpwstr>eyJoZGlkIjoiOWViZTA4Yjg1MTk4MGNlYzFkMjA3ZDQ4NzNmMjA5OWMiLCJ1c2VySWQiOiIxMDc2NjA4NDMyIn0=</vt:lpwstr>
  </property>
  <property fmtid="{D5CDD505-2E9C-101B-9397-08002B2CF9AE}" pid="5" name="KSOProductBuildVer">
    <vt:lpwstr>2052-11.8.2.10290</vt:lpwstr>
  </property>
  <property fmtid="{D5CDD505-2E9C-101B-9397-08002B2CF9AE}" pid="6" name="ICV">
    <vt:lpwstr>2070E063EEF54B2F89EE4455E7D087E4_13</vt:lpwstr>
  </property>
</Properties>
</file>