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before="87" w:line="240" w:lineRule="auto"/>
        <w:ind w:left="1112"/>
        <w:outlineLvl w:val="0"/>
        <w:rPr>
          <w:rFonts w:ascii="宋体" w:hAnsi="宋体" w:eastAsia="宋体" w:cs="宋体"/>
          <w:sz w:val="43"/>
          <w:szCs w:val="43"/>
        </w:rPr>
      </w:pPr>
      <w:bookmarkStart w:id="0" w:name="_GoBack"/>
      <w:r>
        <w:rPr>
          <w:rFonts w:ascii="宋体" w:hAnsi="宋体" w:eastAsia="宋体" w:cs="宋体"/>
          <w:b/>
          <w:bCs/>
          <w:spacing w:val="3"/>
          <w:sz w:val="43"/>
          <w:szCs w:val="43"/>
        </w:rPr>
        <w:t>山东省科学技术进步奖提名公示</w:t>
      </w:r>
    </w:p>
    <w:p>
      <w:pPr>
        <w:shd w:val="clear"/>
        <w:spacing w:line="240" w:lineRule="auto"/>
        <w:rPr>
          <w:rFonts w:ascii="Arial"/>
          <w:sz w:val="21"/>
        </w:rPr>
      </w:pPr>
    </w:p>
    <w:p>
      <w:pPr>
        <w:keepNext w:val="0"/>
        <w:keepLines w:val="0"/>
        <w:pageBreakBefore w:val="0"/>
        <w:widowControl/>
        <w:shd w:val="clear"/>
        <w:kinsoku w:val="0"/>
        <w:wordWrap/>
        <w:overflowPunct/>
        <w:topLinePunct w:val="0"/>
        <w:autoSpaceDE w:val="0"/>
        <w:autoSpaceDN w:val="0"/>
        <w:bidi w:val="0"/>
        <w:adjustRightInd w:val="0"/>
        <w:snapToGrid w:val="0"/>
        <w:spacing w:before="101" w:line="440" w:lineRule="exact"/>
        <w:ind w:left="667"/>
        <w:textAlignment w:val="baseline"/>
        <w:outlineLvl w:val="1"/>
        <w:rPr>
          <w:rFonts w:ascii="黑体" w:hAnsi="黑体" w:eastAsia="黑体" w:cs="黑体"/>
          <w:sz w:val="32"/>
          <w:szCs w:val="32"/>
        </w:rPr>
      </w:pPr>
      <w:r>
        <w:rPr>
          <w:rFonts w:ascii="黑体" w:hAnsi="黑体" w:eastAsia="黑体" w:cs="黑体"/>
          <w:spacing w:val="7"/>
          <w:sz w:val="32"/>
          <w:szCs w:val="32"/>
        </w:rPr>
        <w:t>一、项目名称</w:t>
      </w:r>
    </w:p>
    <w:p>
      <w:pPr>
        <w:pStyle w:val="3"/>
        <w:keepNext w:val="0"/>
        <w:keepLines w:val="0"/>
        <w:pageBreakBefore w:val="0"/>
        <w:widowControl/>
        <w:shd w:val="clear"/>
        <w:kinsoku w:val="0"/>
        <w:wordWrap/>
        <w:overflowPunct/>
        <w:topLinePunct w:val="0"/>
        <w:autoSpaceDE w:val="0"/>
        <w:autoSpaceDN w:val="0"/>
        <w:bidi w:val="0"/>
        <w:adjustRightInd w:val="0"/>
        <w:snapToGrid w:val="0"/>
        <w:spacing w:before="188" w:line="440" w:lineRule="exact"/>
        <w:ind w:left="24" w:right="11" w:firstLine="633"/>
        <w:jc w:val="both"/>
        <w:textAlignment w:val="baseline"/>
        <w:rPr>
          <w:rFonts w:hint="default" w:eastAsia="仿宋"/>
          <w:spacing w:val="9"/>
          <w:sz w:val="32"/>
          <w:szCs w:val="32"/>
          <w:lang w:val="en-US" w:eastAsia="zh-CN"/>
        </w:rPr>
      </w:pPr>
      <w:r>
        <w:rPr>
          <w:rFonts w:hint="eastAsia"/>
          <w:spacing w:val="9"/>
          <w:sz w:val="32"/>
          <w:szCs w:val="32"/>
          <w:lang w:val="en-US" w:eastAsia="zh-CN"/>
        </w:rPr>
        <w:t>平板显示器用间隔材料制备关键技术研发及产业化</w:t>
      </w:r>
    </w:p>
    <w:p>
      <w:pPr>
        <w:keepNext w:val="0"/>
        <w:keepLines w:val="0"/>
        <w:pageBreakBefore w:val="0"/>
        <w:widowControl/>
        <w:shd w:val="clear"/>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z w:val="32"/>
          <w:szCs w:val="32"/>
        </w:rPr>
      </w:pPr>
      <w:r>
        <w:rPr>
          <w:rFonts w:ascii="黑体" w:hAnsi="黑体" w:eastAsia="黑体" w:cs="黑体"/>
          <w:spacing w:val="8"/>
          <w:sz w:val="32"/>
          <w:szCs w:val="32"/>
        </w:rPr>
        <w:t>二、提名者及提名意见</w:t>
      </w:r>
    </w:p>
    <w:p>
      <w:pPr>
        <w:pStyle w:val="3"/>
        <w:keepNext w:val="0"/>
        <w:keepLines w:val="0"/>
        <w:pageBreakBefore w:val="0"/>
        <w:widowControl/>
        <w:shd w:val="clear"/>
        <w:kinsoku w:val="0"/>
        <w:wordWrap/>
        <w:overflowPunct/>
        <w:topLinePunct w:val="0"/>
        <w:autoSpaceDE w:val="0"/>
        <w:autoSpaceDN w:val="0"/>
        <w:bidi w:val="0"/>
        <w:adjustRightInd w:val="0"/>
        <w:snapToGrid w:val="0"/>
        <w:spacing w:before="184" w:line="440" w:lineRule="exact"/>
        <w:ind w:left="659"/>
        <w:textAlignment w:val="baseline"/>
        <w:rPr>
          <w:sz w:val="32"/>
          <w:szCs w:val="32"/>
        </w:rPr>
      </w:pPr>
      <w:r>
        <w:rPr>
          <w:b/>
          <w:bCs/>
          <w:spacing w:val="8"/>
          <w:sz w:val="32"/>
          <w:szCs w:val="32"/>
        </w:rPr>
        <w:t>提名者：</w:t>
      </w:r>
      <w:r>
        <w:rPr>
          <w:spacing w:val="8"/>
          <w:sz w:val="32"/>
          <w:szCs w:val="32"/>
        </w:rPr>
        <w:t>泰安市科学技术局</w:t>
      </w:r>
    </w:p>
    <w:p>
      <w:pPr>
        <w:pStyle w:val="3"/>
        <w:keepNext w:val="0"/>
        <w:keepLines w:val="0"/>
        <w:pageBreakBefore w:val="0"/>
        <w:widowControl/>
        <w:shd w:val="clear"/>
        <w:kinsoku w:val="0"/>
        <w:wordWrap/>
        <w:overflowPunct/>
        <w:topLinePunct w:val="0"/>
        <w:autoSpaceDE w:val="0"/>
        <w:autoSpaceDN w:val="0"/>
        <w:bidi w:val="0"/>
        <w:adjustRightInd w:val="0"/>
        <w:snapToGrid w:val="0"/>
        <w:spacing w:before="185" w:line="440" w:lineRule="exact"/>
        <w:ind w:left="659"/>
        <w:textAlignment w:val="baseline"/>
        <w:rPr>
          <w:sz w:val="32"/>
          <w:szCs w:val="32"/>
        </w:rPr>
      </w:pPr>
      <w:r>
        <w:rPr>
          <w:b/>
          <w:bCs/>
          <w:spacing w:val="3"/>
          <w:sz w:val="32"/>
          <w:szCs w:val="32"/>
        </w:rPr>
        <w:t>提名意见：</w:t>
      </w:r>
    </w:p>
    <w:p>
      <w:pPr>
        <w:pStyle w:val="3"/>
        <w:keepNext w:val="0"/>
        <w:keepLines w:val="0"/>
        <w:pageBreakBefore w:val="0"/>
        <w:widowControl/>
        <w:shd w:val="clear"/>
        <w:kinsoku w:val="0"/>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本项目面向我国新型显示产业关键辅材自主保障需求，由泰中特种纸有限公司牵头，联合中国科学技术大学开展产学研协同攻关，系统开展材料机理研究、工艺路线优化、专用设备改造和产业化验证，成功打破国内外企业长期技术垄断和供给限制。</w:t>
      </w:r>
    </w:p>
    <w:p>
      <w:pPr>
        <w:pStyle w:val="3"/>
        <w:keepNext w:val="0"/>
        <w:keepLines w:val="0"/>
        <w:pageBreakBefore w:val="0"/>
        <w:widowControl/>
        <w:shd w:val="clear"/>
        <w:kinsoku w:val="0"/>
        <w:wordWrap/>
        <w:overflowPunct/>
        <w:topLinePunct w:val="0"/>
        <w:autoSpaceDE w:val="0"/>
        <w:autoSpaceDN w:val="0"/>
        <w:bidi w:val="0"/>
        <w:adjustRightInd w:val="0"/>
        <w:snapToGrid w:val="0"/>
        <w:ind w:firstLine="640" w:firstLineChars="200"/>
        <w:textAlignment w:val="baseline"/>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团队深入揭示材料改性、杂质去除、孔隙调控等微观作用机理，创新开发有机-无机复合防静电改性、物理-化学耦合深度除杂、三元纤维复合高透气导热成型等核心关键技术。通过定制装备改造、工艺参数迭代优化与助剂体系精准配比，攻克了传统间隔纸静电干扰、微量杂质超标、高温孔隙闭合、散热性能不足等行业共性痛点。项目构建了完善的材料设计、工艺制备、质量管控一体化技术体系，研发产品各项核心性能指标均优于行业考核标准与进口同类产品，有效解决了液晶面板光学缺陷、生产良品率低等质量问题。项目解决了间隔材料长期依赖进口、核心技术被国外垄断的卡脖子难题，补齐了新型显示产业上游关键配套材料短板，实现高端液晶间隔纸国产化替代。同时项目兼顾产品性能、生产效率与制造成本，形成稳定可靠的规模化量产工艺体系，具备良好的产业化推广价值与市场竞争力，有力推动了国内电子特种造纸行业高质量升级。</w:t>
      </w:r>
    </w:p>
    <w:p>
      <w:pPr>
        <w:keepNext w:val="0"/>
        <w:keepLines w:val="0"/>
        <w:pageBreakBefore w:val="0"/>
        <w:widowControl/>
        <w:shd w:val="clear"/>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三、提名等级</w:t>
      </w:r>
    </w:p>
    <w:p>
      <w:pPr>
        <w:pStyle w:val="3"/>
        <w:keepNext w:val="0"/>
        <w:keepLines w:val="0"/>
        <w:pageBreakBefore w:val="0"/>
        <w:widowControl/>
        <w:shd w:val="clear"/>
        <w:kinsoku w:val="0"/>
        <w:wordWrap/>
        <w:overflowPunct/>
        <w:topLinePunct w:val="0"/>
        <w:autoSpaceDE w:val="0"/>
        <w:autoSpaceDN w:val="0"/>
        <w:bidi w:val="0"/>
        <w:adjustRightInd w:val="0"/>
        <w:snapToGrid w:val="0"/>
        <w:spacing w:before="182" w:line="440" w:lineRule="exact"/>
        <w:ind w:left="702"/>
        <w:textAlignment w:val="baseline"/>
        <w:rPr>
          <w:sz w:val="32"/>
          <w:szCs w:val="32"/>
        </w:rPr>
      </w:pPr>
      <w:r>
        <w:rPr>
          <w:spacing w:val="5"/>
          <w:sz w:val="32"/>
          <w:szCs w:val="32"/>
        </w:rPr>
        <w:t>山东省科学技术进步奖</w:t>
      </w:r>
      <w:r>
        <w:rPr>
          <w:rFonts w:hint="eastAsia"/>
          <w:spacing w:val="5"/>
          <w:sz w:val="32"/>
          <w:szCs w:val="32"/>
          <w:lang w:val="en-US" w:eastAsia="zh-CN"/>
        </w:rPr>
        <w:t xml:space="preserve"> 二 </w:t>
      </w:r>
      <w:r>
        <w:rPr>
          <w:spacing w:val="5"/>
          <w:sz w:val="32"/>
          <w:szCs w:val="32"/>
        </w:rPr>
        <w:t>等奖</w:t>
      </w:r>
    </w:p>
    <w:p>
      <w:pPr>
        <w:keepNext w:val="0"/>
        <w:keepLines w:val="0"/>
        <w:pageBreakBefore w:val="0"/>
        <w:widowControl/>
        <w:shd w:val="clear"/>
        <w:kinsoku w:val="0"/>
        <w:wordWrap/>
        <w:overflowPunct/>
        <w:topLinePunct w:val="0"/>
        <w:autoSpaceDE w:val="0"/>
        <w:autoSpaceDN w:val="0"/>
        <w:bidi w:val="0"/>
        <w:adjustRightInd w:val="0"/>
        <w:snapToGrid w:val="0"/>
        <w:spacing w:before="188" w:line="440" w:lineRule="exact"/>
        <w:ind w:left="667"/>
        <w:textAlignment w:val="baseline"/>
        <w:outlineLvl w:val="1"/>
        <w:rPr>
          <w:rFonts w:ascii="黑体" w:hAnsi="黑体" w:eastAsia="黑体" w:cs="黑体"/>
          <w:spacing w:val="8"/>
          <w:sz w:val="32"/>
          <w:szCs w:val="32"/>
        </w:rPr>
      </w:pPr>
      <w:r>
        <w:rPr>
          <w:rFonts w:ascii="黑体" w:hAnsi="黑体" w:eastAsia="黑体" w:cs="黑体"/>
          <w:spacing w:val="8"/>
          <w:sz w:val="32"/>
          <w:szCs w:val="32"/>
        </w:rPr>
        <w:t>四、项目简介</w:t>
      </w:r>
    </w:p>
    <w:p>
      <w:pPr>
        <w:pStyle w:val="7"/>
        <w:keepNext w:val="0"/>
        <w:keepLines w:val="0"/>
        <w:pageBreakBefore w:val="0"/>
        <w:widowControl/>
        <w:suppressLineNumbers w:val="0"/>
        <w:shd w:val="clear"/>
        <w:kinsoku w:val="0"/>
        <w:wordWrap/>
        <w:overflowPunct/>
        <w:topLinePunct w:val="0"/>
        <w:autoSpaceDE w:val="0"/>
        <w:autoSpaceDN w:val="0"/>
        <w:bidi w:val="0"/>
        <w:adjustRightInd w:val="0"/>
        <w:snapToGrid w:val="0"/>
        <w:spacing w:before="0" w:beforeAutospacing="0" w:after="240" w:afterAutospacing="0"/>
        <w:ind w:left="0" w:right="0" w:firstLine="640" w:firstLineChars="200"/>
        <w:textAlignment w:val="baseline"/>
        <w:rPr>
          <w:rFonts w:hint="eastAsia" w:ascii="方正仿宋_GB2312" w:hAnsi="方正仿宋_GB2312" w:eastAsia="方正仿宋_GB2312" w:cs="方正仿宋_GB2312"/>
          <w:i w:val="0"/>
          <w:iCs w:val="0"/>
          <w:caps w:val="0"/>
          <w:color w:val="0F1115"/>
          <w:spacing w:val="0"/>
          <w:sz w:val="32"/>
          <w:szCs w:val="32"/>
        </w:rPr>
      </w:pPr>
      <w:r>
        <w:rPr>
          <w:rFonts w:hint="eastAsia" w:ascii="方正仿宋_GB2312" w:hAnsi="方正仿宋_GB2312" w:eastAsia="方正仿宋_GB2312" w:cs="方正仿宋_GB2312"/>
          <w:i w:val="0"/>
          <w:iCs w:val="0"/>
          <w:caps w:val="0"/>
          <w:color w:val="0F1115"/>
          <w:spacing w:val="0"/>
          <w:sz w:val="32"/>
          <w:szCs w:val="32"/>
          <w:shd w:val="clear" w:fill="FFFFFF"/>
        </w:rPr>
        <w:t>新型显示产业是国家战略性新兴产业，被列入科技部“十四五”新型显示与战略性电子材料重点专项及工信部新型显示产业高质量发展行动计划。液晶玻璃基板防护间隔材料作为显示面板生产、仓储和转运不可或缺的核心配套基础耗材，直接决定面板良品率与生产稳定性。然而，高端电子级间隔纸市场长期由海外企业垄断，国内传统产品存在导热透气性能差、硅杂质含量高、静电积聚严重三大核心短板，无法满足高端液晶面板超洁净、高稳定、防热损、防静电的极端工况要求。这导致国内高端市场完全依赖进口，存在供应链不安全、成本偏高等产业风险，制约了特种造纸产业的高质量发展。本项目由泰中特种纸有限公司牵头，联合中国科学技术大学开展产学研协同攻关。项目团队历时7年，从材料微观机理出发，依托材料、结构、工艺多维度技术创新，成功攻克了三大核心技术难题，构建了高端电子间隔纸全产业链制备与质控技术体系。1.创新高透气导热三元复合纤维网络构建技术。针对传统材料高温环境下孔隙易闭合、玻璃基板散热差的问题，项目构建了高松针叶纤维、玄武岩纤维与聚酯纤维的三元复合配比，结合自主研发的特殊剪刀纹磨片精准调控纤维分丝帚化度，并采用梯度编织成型网技术实现纤维定向排布。利用该技术制备出高松厚度和透气度的高性能间隔材料，基板降温速率提升40%。2.建立物理-化学协同深度除硅纯化技术。针对单一除杂技术无法彻底去除全形态硅杂质、易引发面板光学缺陷的难题，项目研发了“五段轻重质除硅器+反渗透超滤+改性钠基膨润土化学耦合吸附”的级联除硅工艺，解决了高温制程下硅杂质导致的面板光斑问题，将光学不良率从3.2%降至0.5%以下。3.突破二维高导电纳米材料抗静电改性技术。针对传统间隔纸易产生静电积聚、造成灰尘吸附的问题，项目揭示了二维导电材料与有机聚合物协同电荷传输机制，采用“自上而下”液相剥离工艺宏量制备二维过渡金属二硒化物纳米片，通过优化分散工艺将其均匀引入纤维网络形成连续导电通路，配合等离子体表面处理与功能化化学涂层技术，在保持材料透气度和力学强度的前提下实现长效抗静电功能。项目累计取得授权发明专利7项、实用新型专利3项、注册商标3项，发表高质量论文12篇。产品经京东方、TCL华星等国内主要面板企业批量验证，核心性能指标均优于行业考核标准与进口同类产品，成功打破国外长期垄断，实现国产化替代。项目实施期间，累计新增产值24203.86万元，新增税收235.4万元，新增就业155人，培养技术骨干33名。项目大幅降低了面板企业采购成本，缩短了供货周期，保障了国内显示产业链安全，其核心技术还可横向推广至电子包装、医用包装等高附加值纸基材料领域。依托本项目成果，泰中特种纸有限公司获评工信部专精特新“小巨人”企业及山东省文化和科技融合示范基地，有力推动了国内电子特种造纸行业的高质量升级。</w:t>
      </w:r>
    </w:p>
    <w:p>
      <w:pPr>
        <w:shd w:val="clear"/>
        <w:spacing w:before="115" w:line="240" w:lineRule="auto"/>
        <w:ind w:left="733"/>
        <w:rPr>
          <w:rFonts w:ascii="黑体" w:hAnsi="黑体" w:eastAsia="黑体" w:cs="黑体"/>
          <w:sz w:val="32"/>
          <w:szCs w:val="32"/>
        </w:rPr>
      </w:pPr>
      <w:r>
        <w:rPr>
          <w:rFonts w:ascii="黑体" w:hAnsi="黑体" w:eastAsia="黑体" w:cs="黑体"/>
          <w:spacing w:val="-2"/>
          <w:sz w:val="32"/>
          <w:szCs w:val="32"/>
        </w:rPr>
        <w:t>五、主要知识产权和标准规范等目录</w:t>
      </w:r>
    </w:p>
    <w:p>
      <w:pPr>
        <w:shd w:val="clear"/>
        <w:spacing w:line="240" w:lineRule="auto"/>
      </w:pPr>
    </w:p>
    <w:tbl>
      <w:tblPr>
        <w:tblStyle w:val="11"/>
        <w:tblW w:w="89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183"/>
        <w:gridCol w:w="2400"/>
        <w:gridCol w:w="977"/>
        <w:gridCol w:w="1683"/>
        <w:gridCol w:w="19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68" w:type="dxa"/>
            <w:textDirection w:val="tbRlV"/>
            <w:vAlign w:val="center"/>
          </w:tcPr>
          <w:p>
            <w:pPr>
              <w:pStyle w:val="12"/>
              <w:shd w:val="clear"/>
              <w:spacing w:before="211" w:line="240" w:lineRule="auto"/>
              <w:ind w:left="19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序</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号</w:t>
            </w:r>
          </w:p>
        </w:tc>
        <w:tc>
          <w:tcPr>
            <w:tcW w:w="1183" w:type="dxa"/>
            <w:vAlign w:val="center"/>
          </w:tcPr>
          <w:p>
            <w:pPr>
              <w:pStyle w:val="12"/>
              <w:shd w:val="clear"/>
              <w:spacing w:before="42" w:line="240" w:lineRule="auto"/>
              <w:ind w:left="2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知识产权</w:t>
            </w:r>
          </w:p>
          <w:p>
            <w:pPr>
              <w:pStyle w:val="12"/>
              <w:shd w:val="clear"/>
              <w:spacing w:before="24" w:line="240" w:lineRule="auto"/>
              <w:ind w:left="1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6"/>
                <w:sz w:val="24"/>
                <w:szCs w:val="24"/>
              </w:rPr>
              <w:t>（标准）类</w:t>
            </w:r>
          </w:p>
          <w:p>
            <w:pPr>
              <w:pStyle w:val="12"/>
              <w:shd w:val="clear"/>
              <w:spacing w:before="27" w:line="240" w:lineRule="auto"/>
              <w:ind w:left="5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别</w:t>
            </w:r>
          </w:p>
        </w:tc>
        <w:tc>
          <w:tcPr>
            <w:tcW w:w="2400" w:type="dxa"/>
            <w:vAlign w:val="center"/>
          </w:tcPr>
          <w:p>
            <w:pPr>
              <w:pStyle w:val="12"/>
              <w:shd w:val="clear"/>
              <w:spacing w:before="194" w:line="240" w:lineRule="auto"/>
              <w:ind w:left="598" w:right="128" w:hanging="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知识产权（标准）</w:t>
            </w:r>
            <w:r>
              <w:rPr>
                <w:rFonts w:hint="eastAsia" w:asciiTheme="minorEastAsia" w:hAnsiTheme="minorEastAsia" w:eastAsiaTheme="minorEastAsia" w:cstheme="minorEastAsia"/>
                <w:spacing w:val="-4"/>
                <w:sz w:val="24"/>
                <w:szCs w:val="24"/>
              </w:rPr>
              <w:t>具体名称</w:t>
            </w:r>
          </w:p>
        </w:tc>
        <w:tc>
          <w:tcPr>
            <w:tcW w:w="977" w:type="dxa"/>
            <w:vAlign w:val="center"/>
          </w:tcPr>
          <w:p>
            <w:pPr>
              <w:pStyle w:val="12"/>
              <w:shd w:val="clear"/>
              <w:spacing w:before="194" w:line="240" w:lineRule="auto"/>
              <w:ind w:left="126" w:right="25" w:firstLine="20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7"/>
                <w:sz w:val="24"/>
                <w:szCs w:val="24"/>
              </w:rPr>
              <w:t>国家</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1"/>
                <w:sz w:val="24"/>
                <w:szCs w:val="24"/>
              </w:rPr>
              <w:t>（地区）</w:t>
            </w:r>
          </w:p>
        </w:tc>
        <w:tc>
          <w:tcPr>
            <w:tcW w:w="1683" w:type="dxa"/>
            <w:vAlign w:val="center"/>
          </w:tcPr>
          <w:p>
            <w:pPr>
              <w:pStyle w:val="12"/>
              <w:shd w:val="clear"/>
              <w:spacing w:before="194" w:line="240" w:lineRule="auto"/>
              <w:ind w:left="368" w:right="118" w:hanging="2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授权（标准发</w:t>
            </w:r>
            <w:r>
              <w:rPr>
                <w:rFonts w:hint="eastAsia" w:asciiTheme="minorEastAsia" w:hAnsiTheme="minorEastAsia" w:eastAsiaTheme="minorEastAsia" w:cstheme="minorEastAsia"/>
                <w:spacing w:val="-15"/>
                <w:sz w:val="24"/>
                <w:szCs w:val="24"/>
              </w:rPr>
              <w:t>布）</w:t>
            </w:r>
            <w:r>
              <w:rPr>
                <w:rFonts w:hint="eastAsia" w:asciiTheme="minorEastAsia" w:hAnsiTheme="minorEastAsia" w:eastAsiaTheme="minorEastAsia" w:cstheme="minorEastAsia"/>
                <w:spacing w:val="-70"/>
                <w:sz w:val="24"/>
                <w:szCs w:val="24"/>
              </w:rPr>
              <w:t xml:space="preserve"> </w:t>
            </w:r>
            <w:r>
              <w:rPr>
                <w:rFonts w:hint="eastAsia" w:asciiTheme="minorEastAsia" w:hAnsiTheme="minorEastAsia" w:eastAsiaTheme="minorEastAsia" w:cstheme="minorEastAsia"/>
                <w:spacing w:val="-15"/>
                <w:sz w:val="24"/>
                <w:szCs w:val="24"/>
              </w:rPr>
              <w:t>日期</w:t>
            </w:r>
          </w:p>
        </w:tc>
        <w:tc>
          <w:tcPr>
            <w:tcW w:w="1990" w:type="dxa"/>
            <w:vAlign w:val="center"/>
          </w:tcPr>
          <w:p>
            <w:pPr>
              <w:pStyle w:val="12"/>
              <w:shd w:val="clear"/>
              <w:spacing w:before="41" w:line="240" w:lineRule="auto"/>
              <w:ind w:left="11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证书编号（标</w:t>
            </w:r>
          </w:p>
          <w:p>
            <w:pPr>
              <w:pStyle w:val="12"/>
              <w:shd w:val="clear"/>
              <w:spacing w:before="24" w:line="240" w:lineRule="auto"/>
              <w:ind w:left="2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准批准发布</w:t>
            </w:r>
          </w:p>
          <w:p>
            <w:pPr>
              <w:pStyle w:val="12"/>
              <w:shd w:val="clear"/>
              <w:spacing w:before="28" w:line="240" w:lineRule="auto"/>
              <w:ind w:left="4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8" w:type="dxa"/>
            <w:vAlign w:val="center"/>
          </w:tcPr>
          <w:p>
            <w:pPr>
              <w:shd w:val="clear"/>
              <w:spacing w:before="232" w:line="240" w:lineRule="auto"/>
              <w:ind w:left="29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发明授权</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一种高透气性功能纸基材料及其制备方法</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2025-1-14</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ZL202410638839.1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line="240"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发明授权</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一种高透明纸基材料及其制备方法</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2024-12-24</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ZL202410982310.1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实用新型</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一种造纸工艺中无缺浆造纸的设备</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2022-5-13</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ZL202123218604.8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发明授权</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韧性强度优良荧光可再贴纸及其制备方法</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2022-2-25</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ZL201910876227.5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发明授权</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eastAsia="宋体" w:asciiTheme="minorEastAsia" w:hAnsiTheme="minorEastAsia" w:cstheme="minorEastAsia"/>
                <w:sz w:val="24"/>
                <w:szCs w:val="24"/>
                <w:lang w:val="en-US" w:eastAsia="zh-CN"/>
              </w:rPr>
            </w:pPr>
            <w:r>
              <w:rPr>
                <w:rFonts w:hint="eastAsia"/>
              </w:rPr>
              <w:t>一种量子点辅助沉积制备彩色防伪水印纸的方</w:t>
            </w:r>
            <w:r>
              <w:rPr>
                <w:rFonts w:hint="eastAsia" w:eastAsia="宋体"/>
                <w:lang w:val="en-US" w:eastAsia="zh-CN"/>
              </w:rPr>
              <w:t>法</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2021-11-9</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ZL201910802336.2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发明授权</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抗撕裂全木可再贴便签纸及其制备方法</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asciiTheme="minorEastAsia" w:hAnsiTheme="minorEastAsia" w:eastAsiaTheme="minorEastAsia" w:cstheme="minorEastAsia"/>
                <w:sz w:val="24"/>
                <w:szCs w:val="24"/>
              </w:rPr>
            </w:pPr>
            <w:r>
              <w:rPr>
                <w:rFonts w:hint="eastAsia"/>
              </w:rPr>
              <w:t>2021-7-16</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asciiTheme="minorEastAsia" w:hAnsiTheme="minorEastAsia" w:eastAsiaTheme="minorEastAsia" w:cstheme="minorEastAsia"/>
                <w:sz w:val="24"/>
                <w:szCs w:val="24"/>
              </w:rPr>
            </w:pPr>
            <w:r>
              <w:rPr>
                <w:rFonts w:hint="eastAsia"/>
              </w:rPr>
              <w:t>ZL201910876225.6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实用新型</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rPr>
            </w:pPr>
            <w:r>
              <w:rPr>
                <w:rFonts w:hint="eastAsia"/>
              </w:rPr>
              <w:t>一种水印辊防滴水装置</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2020-5-19</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rPr>
            </w:pPr>
            <w:r>
              <w:rPr>
                <w:rFonts w:hint="eastAsia"/>
              </w:rPr>
              <w:t>ZL201920942656.3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pPr>
              <w:shd w:val="clear"/>
              <w:spacing w:before="69" w:line="240" w:lineRule="auto"/>
              <w:ind w:left="276"/>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w:t>
            </w:r>
          </w:p>
        </w:tc>
        <w:tc>
          <w:tcPr>
            <w:tcW w:w="11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实用新型</w:t>
            </w:r>
          </w:p>
        </w:tc>
        <w:tc>
          <w:tcPr>
            <w:tcW w:w="240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rPr>
            </w:pPr>
            <w:r>
              <w:rPr>
                <w:rFonts w:hint="eastAsia"/>
              </w:rPr>
              <w:t>一种方便更换的水印辊</w:t>
            </w:r>
          </w:p>
        </w:tc>
        <w:tc>
          <w:tcPr>
            <w:tcW w:w="977"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中国</w:t>
            </w:r>
          </w:p>
        </w:tc>
        <w:tc>
          <w:tcPr>
            <w:tcW w:w="1683" w:type="dxa"/>
            <w:vAlign w:val="center"/>
          </w:tcPr>
          <w:p>
            <w:pPr>
              <w:keepNext w:val="0"/>
              <w:keepLines w:val="0"/>
              <w:widowControl/>
              <w:suppressLineNumbers w:val="0"/>
              <w:shd w:val="clear"/>
              <w:spacing w:before="0" w:beforeAutospacing="0" w:after="0" w:afterAutospacing="0"/>
              <w:ind w:left="0" w:leftChars="0" w:right="0" w:rightChars="0"/>
              <w:jc w:val="center"/>
              <w:textAlignment w:val="top"/>
              <w:rPr>
                <w:rFonts w:hint="eastAsia"/>
              </w:rPr>
            </w:pPr>
            <w:r>
              <w:rPr>
                <w:rFonts w:hint="eastAsia"/>
              </w:rPr>
              <w:t>2020-3-31</w:t>
            </w:r>
          </w:p>
        </w:tc>
        <w:tc>
          <w:tcPr>
            <w:tcW w:w="1990" w:type="dxa"/>
            <w:vAlign w:val="center"/>
          </w:tcPr>
          <w:p>
            <w:pPr>
              <w:keepNext w:val="0"/>
              <w:keepLines w:val="0"/>
              <w:widowControl/>
              <w:suppressLineNumbers w:val="0"/>
              <w:shd w:val="clear"/>
              <w:spacing w:before="0" w:beforeAutospacing="0" w:after="0" w:afterAutospacing="0"/>
              <w:ind w:left="0" w:leftChars="0" w:right="0" w:rightChars="0"/>
              <w:jc w:val="left"/>
              <w:textAlignment w:val="top"/>
              <w:rPr>
                <w:rFonts w:hint="eastAsia"/>
              </w:rPr>
            </w:pPr>
            <w:r>
              <w:rPr>
                <w:rFonts w:hint="eastAsia"/>
              </w:rPr>
              <w:t>ZL201920869572.1</w:t>
            </w:r>
          </w:p>
        </w:tc>
      </w:tr>
    </w:tbl>
    <w:p>
      <w:pPr>
        <w:shd w:val="clear"/>
        <w:spacing w:before="290" w:line="240" w:lineRule="auto"/>
        <w:ind w:left="734"/>
        <w:outlineLvl w:val="1"/>
        <w:rPr>
          <w:rFonts w:ascii="黑体" w:hAnsi="黑体" w:eastAsia="黑体" w:cs="黑体"/>
          <w:sz w:val="30"/>
          <w:szCs w:val="30"/>
        </w:rPr>
      </w:pPr>
      <w:r>
        <w:rPr>
          <w:rFonts w:ascii="黑体" w:hAnsi="黑体" w:eastAsia="黑体" w:cs="黑体"/>
          <w:spacing w:val="-2"/>
          <w:sz w:val="30"/>
          <w:szCs w:val="30"/>
        </w:rPr>
        <w:t>六、主要完成人、主要完成单位情况</w:t>
      </w:r>
    </w:p>
    <w:p>
      <w:pPr>
        <w:shd w:val="clear"/>
        <w:spacing w:line="240" w:lineRule="auto"/>
      </w:pPr>
    </w:p>
    <w:tbl>
      <w:tblPr>
        <w:tblStyle w:val="11"/>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310"/>
        <w:gridCol w:w="33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pPr>
              <w:pStyle w:val="12"/>
              <w:shd w:val="clear"/>
              <w:spacing w:before="35" w:line="240" w:lineRule="auto"/>
              <w:ind w:left="3538"/>
              <w:rPr>
                <w:sz w:val="20"/>
                <w:szCs w:val="20"/>
              </w:rPr>
            </w:pPr>
            <w:r>
              <w:rPr>
                <w:spacing w:val="8"/>
                <w:sz w:val="20"/>
                <w:szCs w:val="20"/>
              </w:rPr>
              <w:t>主要完成人情况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rPr>
                <w:sz w:val="20"/>
                <w:szCs w:val="20"/>
              </w:rPr>
            </w:pPr>
            <w:r>
              <w:rPr>
                <w:spacing w:val="4"/>
                <w:sz w:val="20"/>
                <w:szCs w:val="20"/>
              </w:rPr>
              <w:t>排名</w:t>
            </w:r>
          </w:p>
        </w:tc>
        <w:tc>
          <w:tcPr>
            <w:tcW w:w="1249" w:type="dxa"/>
            <w:vAlign w:val="top"/>
          </w:tcPr>
          <w:p>
            <w:pPr>
              <w:pStyle w:val="12"/>
              <w:shd w:val="clear"/>
              <w:spacing w:before="33" w:line="240" w:lineRule="auto"/>
              <w:ind w:left="418"/>
              <w:rPr>
                <w:sz w:val="20"/>
                <w:szCs w:val="20"/>
              </w:rPr>
            </w:pPr>
            <w:r>
              <w:rPr>
                <w:spacing w:val="4"/>
                <w:sz w:val="20"/>
                <w:szCs w:val="20"/>
              </w:rPr>
              <w:t>姓名</w:t>
            </w:r>
          </w:p>
        </w:tc>
        <w:tc>
          <w:tcPr>
            <w:tcW w:w="3310" w:type="dxa"/>
            <w:vAlign w:val="top"/>
          </w:tcPr>
          <w:p>
            <w:pPr>
              <w:pStyle w:val="12"/>
              <w:shd w:val="clear"/>
              <w:spacing w:before="33" w:line="240" w:lineRule="auto"/>
              <w:ind w:left="1243"/>
              <w:rPr>
                <w:sz w:val="20"/>
                <w:szCs w:val="20"/>
              </w:rPr>
            </w:pPr>
            <w:r>
              <w:rPr>
                <w:spacing w:val="6"/>
                <w:sz w:val="20"/>
                <w:szCs w:val="20"/>
              </w:rPr>
              <w:t>工作单位</w:t>
            </w:r>
          </w:p>
        </w:tc>
        <w:tc>
          <w:tcPr>
            <w:tcW w:w="3313" w:type="dxa"/>
            <w:vAlign w:val="top"/>
          </w:tcPr>
          <w:p>
            <w:pPr>
              <w:pStyle w:val="12"/>
              <w:shd w:val="clear"/>
              <w:spacing w:before="33" w:line="240" w:lineRule="auto"/>
              <w:ind w:left="1242"/>
              <w:rPr>
                <w:sz w:val="20"/>
                <w:szCs w:val="20"/>
              </w:rPr>
            </w:pPr>
            <w:r>
              <w:rPr>
                <w:spacing w:val="6"/>
                <w:sz w:val="20"/>
                <w:szCs w:val="20"/>
              </w:rPr>
              <w:t>完成单位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eastAsia" w:eastAsia="宋体"/>
                <w:spacing w:val="4"/>
                <w:sz w:val="20"/>
                <w:szCs w:val="20"/>
                <w:lang w:val="en-US" w:eastAsia="zh-CN"/>
              </w:rPr>
            </w:pPr>
            <w:r>
              <w:rPr>
                <w:rFonts w:hint="eastAsia"/>
                <w:spacing w:val="4"/>
                <w:sz w:val="20"/>
                <w:szCs w:val="20"/>
                <w:lang w:val="en-US" w:eastAsia="zh-CN"/>
              </w:rPr>
              <w:t>1</w:t>
            </w:r>
          </w:p>
        </w:tc>
        <w:tc>
          <w:tcPr>
            <w:tcW w:w="1249" w:type="dxa"/>
            <w:vAlign w:val="top"/>
          </w:tcPr>
          <w:p>
            <w:pPr>
              <w:pStyle w:val="12"/>
              <w:shd w:val="clear"/>
              <w:spacing w:before="33" w:line="240" w:lineRule="auto"/>
              <w:ind w:left="418"/>
              <w:jc w:val="both"/>
              <w:rPr>
                <w:rFonts w:hint="default" w:eastAsia="宋体"/>
                <w:spacing w:val="4"/>
                <w:sz w:val="20"/>
                <w:szCs w:val="20"/>
                <w:lang w:val="en-US" w:eastAsia="zh-CN"/>
              </w:rPr>
            </w:pPr>
            <w:r>
              <w:rPr>
                <w:rFonts w:hint="eastAsia"/>
                <w:spacing w:val="4"/>
                <w:sz w:val="20"/>
                <w:szCs w:val="20"/>
                <w:lang w:val="en-US" w:eastAsia="zh-CN"/>
              </w:rPr>
              <w:t>刘朋</w:t>
            </w:r>
          </w:p>
        </w:tc>
        <w:tc>
          <w:tcPr>
            <w:tcW w:w="3310"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c>
          <w:tcPr>
            <w:tcW w:w="3313"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eastAsia" w:eastAsia="宋体"/>
                <w:spacing w:val="4"/>
                <w:sz w:val="20"/>
                <w:szCs w:val="20"/>
                <w:lang w:val="en-US" w:eastAsia="zh-CN"/>
              </w:rPr>
            </w:pPr>
            <w:r>
              <w:rPr>
                <w:rFonts w:hint="eastAsia"/>
                <w:spacing w:val="4"/>
                <w:sz w:val="20"/>
                <w:szCs w:val="20"/>
                <w:lang w:val="en-US" w:eastAsia="zh-CN"/>
              </w:rPr>
              <w:t>2</w:t>
            </w:r>
          </w:p>
        </w:tc>
        <w:tc>
          <w:tcPr>
            <w:tcW w:w="1249" w:type="dxa"/>
            <w:vAlign w:val="top"/>
          </w:tcPr>
          <w:p>
            <w:pPr>
              <w:pStyle w:val="12"/>
              <w:shd w:val="clear"/>
              <w:spacing w:before="33" w:line="240" w:lineRule="auto"/>
              <w:ind w:left="418"/>
              <w:jc w:val="both"/>
              <w:rPr>
                <w:rFonts w:hint="default" w:eastAsia="宋体"/>
                <w:spacing w:val="4"/>
                <w:sz w:val="20"/>
                <w:szCs w:val="20"/>
                <w:lang w:val="en-US" w:eastAsia="zh-CN"/>
              </w:rPr>
            </w:pPr>
            <w:r>
              <w:rPr>
                <w:rFonts w:hint="eastAsia"/>
                <w:spacing w:val="4"/>
                <w:sz w:val="20"/>
                <w:szCs w:val="20"/>
                <w:lang w:val="en-US" w:eastAsia="zh-CN"/>
              </w:rPr>
              <w:t>郭宇桥</w:t>
            </w:r>
          </w:p>
        </w:tc>
        <w:tc>
          <w:tcPr>
            <w:tcW w:w="3310" w:type="dxa"/>
            <w:vAlign w:val="top"/>
          </w:tcPr>
          <w:p>
            <w:pPr>
              <w:pStyle w:val="12"/>
              <w:shd w:val="clear"/>
              <w:spacing w:before="33" w:line="240" w:lineRule="auto"/>
              <w:jc w:val="both"/>
              <w:rPr>
                <w:spacing w:val="6"/>
                <w:sz w:val="20"/>
                <w:szCs w:val="20"/>
              </w:rPr>
            </w:pPr>
            <w:r>
              <w:rPr>
                <w:rFonts w:hint="eastAsia"/>
                <w:sz w:val="20"/>
                <w:szCs w:val="20"/>
              </w:rPr>
              <w:t>中国科学技术大学</w:t>
            </w:r>
          </w:p>
        </w:tc>
        <w:tc>
          <w:tcPr>
            <w:tcW w:w="3313" w:type="dxa"/>
            <w:vAlign w:val="top"/>
          </w:tcPr>
          <w:p>
            <w:pPr>
              <w:pStyle w:val="12"/>
              <w:shd w:val="clear"/>
              <w:spacing w:before="33" w:line="240" w:lineRule="auto"/>
              <w:jc w:val="both"/>
              <w:rPr>
                <w:spacing w:val="6"/>
                <w:sz w:val="20"/>
                <w:szCs w:val="20"/>
              </w:rPr>
            </w:pPr>
            <w:r>
              <w:rPr>
                <w:rFonts w:hint="eastAsia"/>
                <w:sz w:val="20"/>
                <w:szCs w:val="20"/>
              </w:rPr>
              <w:t>中国科学技术大学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eastAsia" w:eastAsia="宋体"/>
                <w:spacing w:val="4"/>
                <w:sz w:val="20"/>
                <w:szCs w:val="20"/>
                <w:lang w:val="en-US" w:eastAsia="zh-CN"/>
              </w:rPr>
            </w:pPr>
            <w:r>
              <w:rPr>
                <w:rFonts w:hint="eastAsia"/>
                <w:spacing w:val="4"/>
                <w:sz w:val="20"/>
                <w:szCs w:val="20"/>
                <w:lang w:val="en-US" w:eastAsia="zh-CN"/>
              </w:rPr>
              <w:t>3</w:t>
            </w:r>
          </w:p>
        </w:tc>
        <w:tc>
          <w:tcPr>
            <w:tcW w:w="1249" w:type="dxa"/>
            <w:vAlign w:val="top"/>
          </w:tcPr>
          <w:p>
            <w:pPr>
              <w:pStyle w:val="12"/>
              <w:shd w:val="clear"/>
              <w:spacing w:before="33" w:line="240" w:lineRule="auto"/>
              <w:ind w:left="418"/>
              <w:jc w:val="both"/>
              <w:rPr>
                <w:rFonts w:hint="default" w:eastAsia="宋体"/>
                <w:spacing w:val="4"/>
                <w:sz w:val="20"/>
                <w:szCs w:val="20"/>
                <w:lang w:val="en-US" w:eastAsia="zh-CN"/>
              </w:rPr>
            </w:pPr>
            <w:r>
              <w:rPr>
                <w:rFonts w:hint="eastAsia"/>
                <w:spacing w:val="4"/>
                <w:sz w:val="20"/>
                <w:szCs w:val="20"/>
                <w:lang w:val="en-US" w:eastAsia="zh-CN"/>
              </w:rPr>
              <w:t>王伟业</w:t>
            </w:r>
          </w:p>
        </w:tc>
        <w:tc>
          <w:tcPr>
            <w:tcW w:w="3310"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c>
          <w:tcPr>
            <w:tcW w:w="3313"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eastAsia" w:eastAsia="宋体"/>
                <w:spacing w:val="4"/>
                <w:sz w:val="20"/>
                <w:szCs w:val="20"/>
                <w:lang w:val="en-US" w:eastAsia="zh-CN"/>
              </w:rPr>
            </w:pPr>
            <w:r>
              <w:rPr>
                <w:rFonts w:hint="eastAsia"/>
                <w:spacing w:val="4"/>
                <w:sz w:val="20"/>
                <w:szCs w:val="20"/>
                <w:lang w:val="en-US" w:eastAsia="zh-CN"/>
              </w:rPr>
              <w:t>4</w:t>
            </w:r>
          </w:p>
        </w:tc>
        <w:tc>
          <w:tcPr>
            <w:tcW w:w="1249" w:type="dxa"/>
            <w:vAlign w:val="top"/>
          </w:tcPr>
          <w:p>
            <w:pPr>
              <w:pStyle w:val="12"/>
              <w:shd w:val="clear"/>
              <w:spacing w:before="33" w:line="240" w:lineRule="auto"/>
              <w:ind w:left="418"/>
              <w:jc w:val="both"/>
              <w:rPr>
                <w:rFonts w:hint="default" w:eastAsia="宋体"/>
                <w:spacing w:val="4"/>
                <w:sz w:val="20"/>
                <w:szCs w:val="20"/>
                <w:lang w:val="en-US" w:eastAsia="zh-CN"/>
              </w:rPr>
            </w:pPr>
            <w:r>
              <w:rPr>
                <w:rFonts w:hint="eastAsia"/>
                <w:spacing w:val="4"/>
                <w:sz w:val="20"/>
                <w:szCs w:val="20"/>
                <w:lang w:val="en-US" w:eastAsia="zh-CN"/>
              </w:rPr>
              <w:t>刘国梁</w:t>
            </w:r>
          </w:p>
        </w:tc>
        <w:tc>
          <w:tcPr>
            <w:tcW w:w="3310"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c>
          <w:tcPr>
            <w:tcW w:w="3313"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eastAsia" w:eastAsia="宋体"/>
                <w:spacing w:val="4"/>
                <w:sz w:val="20"/>
                <w:szCs w:val="20"/>
                <w:lang w:val="en-US" w:eastAsia="zh-CN"/>
              </w:rPr>
            </w:pPr>
            <w:r>
              <w:rPr>
                <w:rFonts w:hint="eastAsia"/>
                <w:spacing w:val="4"/>
                <w:sz w:val="20"/>
                <w:szCs w:val="20"/>
                <w:lang w:val="en-US" w:eastAsia="zh-CN"/>
              </w:rPr>
              <w:t>5</w:t>
            </w:r>
          </w:p>
        </w:tc>
        <w:tc>
          <w:tcPr>
            <w:tcW w:w="1249" w:type="dxa"/>
            <w:vAlign w:val="top"/>
          </w:tcPr>
          <w:p>
            <w:pPr>
              <w:pStyle w:val="12"/>
              <w:shd w:val="clear"/>
              <w:spacing w:before="33" w:line="240" w:lineRule="auto"/>
              <w:ind w:left="418"/>
              <w:jc w:val="both"/>
              <w:rPr>
                <w:rFonts w:hint="default" w:eastAsia="宋体"/>
                <w:spacing w:val="4"/>
                <w:sz w:val="20"/>
                <w:szCs w:val="20"/>
                <w:lang w:val="en-US" w:eastAsia="zh-CN"/>
              </w:rPr>
            </w:pPr>
            <w:r>
              <w:rPr>
                <w:rFonts w:hint="eastAsia"/>
                <w:spacing w:val="4"/>
                <w:sz w:val="20"/>
                <w:szCs w:val="20"/>
                <w:lang w:val="en-US" w:eastAsia="zh-CN"/>
              </w:rPr>
              <w:t>孟亚会</w:t>
            </w:r>
          </w:p>
        </w:tc>
        <w:tc>
          <w:tcPr>
            <w:tcW w:w="3310"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c>
          <w:tcPr>
            <w:tcW w:w="3313"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pStyle w:val="12"/>
              <w:shd w:val="clear"/>
              <w:spacing w:before="33" w:line="240" w:lineRule="auto"/>
              <w:ind w:left="126"/>
              <w:jc w:val="center"/>
              <w:rPr>
                <w:rFonts w:hint="default"/>
                <w:spacing w:val="4"/>
                <w:sz w:val="20"/>
                <w:szCs w:val="20"/>
                <w:lang w:val="en-US" w:eastAsia="zh-CN"/>
              </w:rPr>
            </w:pPr>
            <w:r>
              <w:rPr>
                <w:rFonts w:hint="eastAsia"/>
                <w:spacing w:val="4"/>
                <w:sz w:val="20"/>
                <w:szCs w:val="20"/>
                <w:lang w:val="en-US" w:eastAsia="zh-CN"/>
              </w:rPr>
              <w:t>6</w:t>
            </w:r>
          </w:p>
        </w:tc>
        <w:tc>
          <w:tcPr>
            <w:tcW w:w="1249" w:type="dxa"/>
            <w:vAlign w:val="top"/>
          </w:tcPr>
          <w:p>
            <w:pPr>
              <w:pStyle w:val="12"/>
              <w:shd w:val="clear"/>
              <w:spacing w:before="33" w:line="240" w:lineRule="auto"/>
              <w:ind w:firstLine="416" w:firstLineChars="200"/>
              <w:jc w:val="both"/>
              <w:rPr>
                <w:rFonts w:hint="default" w:eastAsia="宋体"/>
                <w:spacing w:val="4"/>
                <w:sz w:val="20"/>
                <w:szCs w:val="20"/>
                <w:lang w:val="en-US" w:eastAsia="zh-CN"/>
              </w:rPr>
            </w:pPr>
            <w:r>
              <w:rPr>
                <w:rFonts w:hint="eastAsia"/>
                <w:spacing w:val="4"/>
                <w:sz w:val="20"/>
                <w:szCs w:val="20"/>
                <w:lang w:val="en-US" w:eastAsia="zh-CN"/>
              </w:rPr>
              <w:t>孙海波</w:t>
            </w:r>
          </w:p>
        </w:tc>
        <w:tc>
          <w:tcPr>
            <w:tcW w:w="3310"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c>
          <w:tcPr>
            <w:tcW w:w="3313" w:type="dxa"/>
            <w:vAlign w:val="top"/>
          </w:tcPr>
          <w:p>
            <w:pPr>
              <w:pStyle w:val="12"/>
              <w:shd w:val="clear"/>
              <w:spacing w:before="33" w:line="240" w:lineRule="auto"/>
              <w:jc w:val="both"/>
              <w:rPr>
                <w:spacing w:val="6"/>
                <w:sz w:val="20"/>
                <w:szCs w:val="20"/>
              </w:rPr>
            </w:pPr>
            <w:r>
              <w:rPr>
                <w:rFonts w:hint="eastAsia" w:eastAsia="宋体"/>
                <w:sz w:val="20"/>
                <w:szCs w:val="20"/>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pPr>
              <w:shd w:val="clear"/>
              <w:spacing w:before="67" w:line="240" w:lineRule="auto"/>
              <w:ind w:left="29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7</w:t>
            </w:r>
          </w:p>
        </w:tc>
        <w:tc>
          <w:tcPr>
            <w:tcW w:w="1249" w:type="dxa"/>
            <w:vAlign w:val="center"/>
          </w:tcPr>
          <w:p>
            <w:pPr>
              <w:shd w:val="clear"/>
              <w:jc w:val="center"/>
              <w:rPr>
                <w:rFonts w:hint="default" w:eastAsia="宋体"/>
                <w:sz w:val="20"/>
                <w:szCs w:val="20"/>
                <w:lang w:val="en-US" w:eastAsia="zh-CN"/>
              </w:rPr>
            </w:pPr>
            <w:r>
              <w:rPr>
                <w:rFonts w:hint="eastAsia" w:eastAsia="宋体"/>
                <w:sz w:val="20"/>
                <w:szCs w:val="20"/>
                <w:lang w:val="en-US" w:eastAsia="zh-CN"/>
              </w:rPr>
              <w:t xml:space="preserve">   李冬梅</w:t>
            </w:r>
          </w:p>
        </w:tc>
        <w:tc>
          <w:tcPr>
            <w:tcW w:w="3310" w:type="dxa"/>
            <w:vAlign w:val="center"/>
          </w:tcPr>
          <w:p>
            <w:pPr>
              <w:shd w:val="clear"/>
              <w:jc w:val="both"/>
              <w:rPr>
                <w:rFonts w:hint="default" w:eastAsia="宋体"/>
                <w:sz w:val="20"/>
                <w:szCs w:val="20"/>
                <w:lang w:val="en-US" w:eastAsia="zh-CN"/>
              </w:rPr>
            </w:pPr>
            <w:r>
              <w:rPr>
                <w:rFonts w:hint="eastAsia" w:eastAsia="宋体"/>
                <w:sz w:val="20"/>
                <w:szCs w:val="20"/>
                <w:lang w:val="en-US" w:eastAsia="zh-CN"/>
              </w:rPr>
              <w:t>泰中特种纸有限公司</w:t>
            </w:r>
          </w:p>
        </w:tc>
        <w:tc>
          <w:tcPr>
            <w:tcW w:w="3313" w:type="dxa"/>
            <w:vAlign w:val="center"/>
          </w:tcPr>
          <w:p>
            <w:pPr>
              <w:shd w:val="clear"/>
              <w:jc w:val="both"/>
              <w:rPr>
                <w:rFonts w:hint="default" w:eastAsia="宋体"/>
                <w:sz w:val="20"/>
                <w:szCs w:val="20"/>
                <w:highlight w:val="none"/>
                <w:lang w:val="en-US" w:eastAsia="zh-CN"/>
              </w:rPr>
            </w:pPr>
            <w:r>
              <w:rPr>
                <w:rFonts w:hint="eastAsia" w:eastAsia="宋体"/>
                <w:sz w:val="20"/>
                <w:szCs w:val="20"/>
                <w:highlight w:val="none"/>
                <w:lang w:val="en-US" w:eastAsia="zh-CN"/>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pPr>
              <w:pStyle w:val="12"/>
              <w:shd w:val="clear"/>
              <w:spacing w:before="146" w:line="240" w:lineRule="auto"/>
              <w:ind w:left="3643"/>
              <w:rPr>
                <w:sz w:val="20"/>
                <w:szCs w:val="20"/>
              </w:rPr>
            </w:pPr>
            <w:r>
              <w:rPr>
                <w:spacing w:val="7"/>
                <w:sz w:val="20"/>
                <w:szCs w:val="20"/>
              </w:rPr>
              <w:t>主要完成单位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pPr>
              <w:pStyle w:val="12"/>
              <w:shd w:val="clear"/>
              <w:spacing w:before="35" w:line="240" w:lineRule="auto"/>
              <w:ind w:left="126"/>
              <w:rPr>
                <w:sz w:val="20"/>
                <w:szCs w:val="20"/>
              </w:rPr>
            </w:pPr>
            <w:r>
              <w:rPr>
                <w:spacing w:val="4"/>
                <w:sz w:val="20"/>
                <w:szCs w:val="20"/>
              </w:rPr>
              <w:t>排名</w:t>
            </w:r>
          </w:p>
        </w:tc>
        <w:tc>
          <w:tcPr>
            <w:tcW w:w="7872" w:type="dxa"/>
            <w:gridSpan w:val="3"/>
            <w:vAlign w:val="top"/>
          </w:tcPr>
          <w:p>
            <w:pPr>
              <w:pStyle w:val="12"/>
              <w:shd w:val="clear"/>
              <w:spacing w:before="35" w:line="240" w:lineRule="auto"/>
              <w:ind w:left="3521"/>
              <w:rPr>
                <w:sz w:val="20"/>
                <w:szCs w:val="20"/>
              </w:rPr>
            </w:pPr>
            <w:r>
              <w:rPr>
                <w:spacing w:val="6"/>
                <w:sz w:val="20"/>
                <w:szCs w:val="20"/>
              </w:rPr>
              <w:t>单位名称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pPr>
              <w:shd w:val="clear"/>
              <w:spacing w:before="70" w:line="240" w:lineRule="auto"/>
              <w:ind w:left="298"/>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7872" w:type="dxa"/>
            <w:gridSpan w:val="3"/>
            <w:vAlign w:val="top"/>
          </w:tcPr>
          <w:p>
            <w:pPr>
              <w:pStyle w:val="12"/>
              <w:shd w:val="clear"/>
              <w:spacing w:before="35" w:line="240" w:lineRule="auto"/>
              <w:ind w:left="2909"/>
              <w:rPr>
                <w:sz w:val="20"/>
                <w:szCs w:val="20"/>
              </w:rPr>
            </w:pPr>
            <w:r>
              <w:rPr>
                <w:rFonts w:hint="eastAsia"/>
              </w:rPr>
              <w:t>泰中特种纸有限公司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pPr>
              <w:shd w:val="clear"/>
              <w:spacing w:before="88" w:line="240" w:lineRule="auto"/>
              <w:ind w:left="278"/>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w:t>
            </w:r>
          </w:p>
        </w:tc>
        <w:tc>
          <w:tcPr>
            <w:tcW w:w="7872" w:type="dxa"/>
            <w:gridSpan w:val="3"/>
            <w:vAlign w:val="top"/>
          </w:tcPr>
          <w:p>
            <w:pPr>
              <w:pStyle w:val="12"/>
              <w:shd w:val="clear"/>
              <w:spacing w:before="35" w:line="240" w:lineRule="auto"/>
              <w:ind w:left="2909"/>
              <w:rPr>
                <w:sz w:val="20"/>
                <w:szCs w:val="20"/>
              </w:rPr>
            </w:pPr>
            <w:r>
              <w:rPr>
                <w:rFonts w:hint="eastAsia"/>
              </w:rPr>
              <w:t>中国科学技术大学</w:t>
            </w:r>
          </w:p>
        </w:tc>
      </w:tr>
    </w:tbl>
    <w:p>
      <w:pPr>
        <w:shd w:val="clear"/>
        <w:spacing w:line="240" w:lineRule="auto"/>
        <w:rPr>
          <w:rFonts w:ascii="Arial"/>
          <w:sz w:val="21"/>
        </w:rPr>
      </w:pPr>
    </w:p>
    <w:bookmarkEnd w:id="0"/>
    <w:sectPr>
      <w:footerReference r:id="rId5" w:type="default"/>
      <w:pgSz w:w="11906" w:h="16839"/>
      <w:pgMar w:top="1174" w:right="1684" w:bottom="1157" w:left="1684" w:header="0" w:footer="1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true"/>
  <w:embedTrueTypeFonts/>
  <w:saveSubsetFonts/>
  <w:bordersDoNotSurroundHeader w:val="false"/>
  <w:bordersDoNotSurroundFooter w:val="false"/>
  <w:documentProtection w:enforcement="0"/>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445F0C"/>
    <w:rsid w:val="0250441F"/>
    <w:rsid w:val="059B24B4"/>
    <w:rsid w:val="08485B98"/>
    <w:rsid w:val="08FA50E4"/>
    <w:rsid w:val="0BD315B0"/>
    <w:rsid w:val="0CCB047F"/>
    <w:rsid w:val="101A2510"/>
    <w:rsid w:val="10973B61"/>
    <w:rsid w:val="12B40728"/>
    <w:rsid w:val="157E0E4B"/>
    <w:rsid w:val="160C3C6F"/>
    <w:rsid w:val="194A5C14"/>
    <w:rsid w:val="1B926E6E"/>
    <w:rsid w:val="1BD528D3"/>
    <w:rsid w:val="1C645684"/>
    <w:rsid w:val="21C84A65"/>
    <w:rsid w:val="23C6058D"/>
    <w:rsid w:val="284B2378"/>
    <w:rsid w:val="2AA36F32"/>
    <w:rsid w:val="2B606BD1"/>
    <w:rsid w:val="2C155C0E"/>
    <w:rsid w:val="2ECB6A58"/>
    <w:rsid w:val="340A6274"/>
    <w:rsid w:val="34244A12"/>
    <w:rsid w:val="381902C4"/>
    <w:rsid w:val="39122241"/>
    <w:rsid w:val="3BE04BEB"/>
    <w:rsid w:val="3C011D0B"/>
    <w:rsid w:val="40B82BB4"/>
    <w:rsid w:val="43A7763B"/>
    <w:rsid w:val="47C14A44"/>
    <w:rsid w:val="49033566"/>
    <w:rsid w:val="4C7D71E6"/>
    <w:rsid w:val="53BF59F0"/>
    <w:rsid w:val="54E51D72"/>
    <w:rsid w:val="56135281"/>
    <w:rsid w:val="5F0A4A08"/>
    <w:rsid w:val="5FFFA129"/>
    <w:rsid w:val="605B3830"/>
    <w:rsid w:val="60EB5790"/>
    <w:rsid w:val="61F03972"/>
    <w:rsid w:val="70904746"/>
    <w:rsid w:val="78D06865"/>
    <w:rsid w:val="7CA979E5"/>
    <w:rsid w:val="7EAE3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semiHidden/>
    <w:qFormat/>
    <w:uiPriority w:val="0"/>
    <w:rPr>
      <w:rFonts w:ascii="仿宋" w:hAnsi="仿宋" w:eastAsia="仿宋" w:cs="仿宋"/>
      <w:sz w:val="31"/>
      <w:szCs w:val="31"/>
      <w:lang w:val="en-US" w:eastAsia="en-US" w:bidi="ar-SA"/>
    </w:rPr>
  </w:style>
  <w:style w:type="paragraph" w:styleId="4">
    <w:name w:val="Title"/>
    <w:basedOn w:val="1"/>
    <w:next w:val="1"/>
    <w:qFormat/>
    <w:uiPriority w:val="0"/>
    <w:pPr>
      <w:jc w:val="center"/>
      <w:outlineLvl w:val="0"/>
    </w:pPr>
    <w:rPr>
      <w:rFonts w:ascii="方正小标宋_GBK" w:eastAsia="方正小标宋_GBK" w:cs="方正小标宋_GBK"/>
      <w:sz w:val="44"/>
      <w:szCs w:val="4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table" w:styleId="9">
    <w:name w:val="Table Grid"/>
    <w:basedOn w:val="8"/>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2304</Words>
  <Characters>2517</Characters>
  <TotalTime>18</TotalTime>
  <ScaleCrop>false</ScaleCrop>
  <LinksUpToDate>false</LinksUpToDate>
  <CharactersWithSpaces>2528</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2025-04-01T19:14:00Z</dcterms:created>
  <dc:creator>LIUFANGFANG</dc:creator>
  <cp:lastModifiedBy>usudhdf</cp:lastModifiedBy>
  <dcterms:modified xsi:type="dcterms:W3CDTF">2026-07-21T11:16:49Z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eyJoZGlkIjoiZDcyMTMxZDhkN2IzYzdiZWRjM2VmMjBlODdhYTczNGEiLCJ1c2VySWQiOiIxMDYyNDM4Nzg1In0=</vt:lpwstr>
  </property>
  <property fmtid="{D5CDD505-2E9C-101B-9397-08002B2CF9AE}" pid="5" name="KSOProductBuildVer">
    <vt:lpwstr>2052-11.8.2.10290</vt:lpwstr>
  </property>
  <property fmtid="{D5CDD505-2E9C-101B-9397-08002B2CF9AE}" pid="6" name="ICV">
    <vt:lpwstr>4004E04B414345E18EF0C48BEC3599D2_13</vt:lpwstr>
  </property>
</Properties>
</file>