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6B06C">
      <w:pPr>
        <w:spacing w:before="87" w:line="240" w:lineRule="auto"/>
        <w:ind w:left="1112"/>
        <w:outlineLvl w:val="0"/>
        <w:rPr>
          <w:rFonts w:ascii="宋体" w:hAnsi="宋体" w:eastAsia="宋体" w:cs="宋体"/>
          <w:sz w:val="43"/>
          <w:szCs w:val="43"/>
        </w:rPr>
      </w:pPr>
      <w:r>
        <w:rPr>
          <w:rFonts w:ascii="宋体" w:hAnsi="宋体" w:eastAsia="宋体" w:cs="宋体"/>
          <w:b/>
          <w:bCs/>
          <w:spacing w:val="3"/>
          <w:sz w:val="43"/>
          <w:szCs w:val="43"/>
        </w:rPr>
        <w:t>山东省科学技术进步奖提名公示</w:t>
      </w:r>
    </w:p>
    <w:p w14:paraId="0DF01CA5">
      <w:pPr>
        <w:spacing w:line="240" w:lineRule="auto"/>
        <w:rPr>
          <w:rFonts w:ascii="Arial"/>
          <w:sz w:val="21"/>
        </w:rPr>
      </w:pPr>
    </w:p>
    <w:p w14:paraId="6A35C8CF">
      <w:pPr>
        <w:keepNext w:val="0"/>
        <w:keepLines w:val="0"/>
        <w:pageBreakBefore w:val="0"/>
        <w:widowControl/>
        <w:kinsoku w:val="0"/>
        <w:wordWrap/>
        <w:overflowPunct/>
        <w:topLinePunct w:val="0"/>
        <w:autoSpaceDE w:val="0"/>
        <w:autoSpaceDN w:val="0"/>
        <w:bidi w:val="0"/>
        <w:adjustRightInd w:val="0"/>
        <w:snapToGrid w:val="0"/>
        <w:spacing w:line="520" w:lineRule="exact"/>
        <w:ind w:left="667"/>
        <w:textAlignment w:val="baseline"/>
        <w:outlineLvl w:val="1"/>
        <w:rPr>
          <w:rFonts w:ascii="黑体" w:hAnsi="黑体" w:eastAsia="黑体" w:cs="黑体"/>
          <w:sz w:val="32"/>
          <w:szCs w:val="32"/>
        </w:rPr>
      </w:pPr>
      <w:r>
        <w:rPr>
          <w:rFonts w:ascii="黑体" w:hAnsi="黑体" w:eastAsia="黑体" w:cs="黑体"/>
          <w:spacing w:val="7"/>
          <w:sz w:val="32"/>
          <w:szCs w:val="32"/>
        </w:rPr>
        <w:t>一、项目名称</w:t>
      </w:r>
    </w:p>
    <w:p w14:paraId="20DDA73D">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24" w:right="11" w:firstLine="633"/>
        <w:jc w:val="both"/>
        <w:textAlignment w:val="baseline"/>
        <w:rPr>
          <w:rFonts w:hint="eastAsia" w:eastAsia="仿宋"/>
          <w:spacing w:val="9"/>
          <w:sz w:val="32"/>
          <w:szCs w:val="32"/>
          <w:lang w:val="en-US" w:eastAsia="zh-CN"/>
        </w:rPr>
      </w:pPr>
      <w:r>
        <w:rPr>
          <w:rFonts w:hint="eastAsia"/>
          <w:spacing w:val="9"/>
          <w:lang w:val="en-US" w:eastAsia="zh-CN"/>
        </w:rPr>
        <w:t>特高压GIS用新型电压量测设备研制及工程应用</w:t>
      </w:r>
    </w:p>
    <w:p w14:paraId="1B6855F5">
      <w:pPr>
        <w:keepNext w:val="0"/>
        <w:keepLines w:val="0"/>
        <w:pageBreakBefore w:val="0"/>
        <w:widowControl/>
        <w:kinsoku w:val="0"/>
        <w:wordWrap/>
        <w:overflowPunct/>
        <w:topLinePunct w:val="0"/>
        <w:autoSpaceDE w:val="0"/>
        <w:autoSpaceDN w:val="0"/>
        <w:bidi w:val="0"/>
        <w:adjustRightInd w:val="0"/>
        <w:snapToGrid w:val="0"/>
        <w:spacing w:line="520" w:lineRule="exact"/>
        <w:ind w:left="667"/>
        <w:textAlignment w:val="baseline"/>
        <w:outlineLvl w:val="1"/>
        <w:rPr>
          <w:rFonts w:ascii="黑体" w:hAnsi="黑体" w:eastAsia="黑体" w:cs="黑体"/>
          <w:sz w:val="32"/>
          <w:szCs w:val="32"/>
        </w:rPr>
      </w:pPr>
      <w:r>
        <w:rPr>
          <w:rFonts w:ascii="黑体" w:hAnsi="黑体" w:eastAsia="黑体" w:cs="黑体"/>
          <w:spacing w:val="8"/>
          <w:sz w:val="32"/>
          <w:szCs w:val="32"/>
        </w:rPr>
        <w:t>二、提名者及提名意见</w:t>
      </w:r>
    </w:p>
    <w:p w14:paraId="7C3762D7">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659"/>
        <w:textAlignment w:val="baseline"/>
        <w:rPr>
          <w:sz w:val="32"/>
          <w:szCs w:val="32"/>
        </w:rPr>
      </w:pPr>
      <w:r>
        <w:rPr>
          <w:b/>
          <w:bCs/>
          <w:spacing w:val="8"/>
          <w:sz w:val="32"/>
          <w:szCs w:val="32"/>
        </w:rPr>
        <w:t>提名者：</w:t>
      </w:r>
      <w:r>
        <w:rPr>
          <w:spacing w:val="8"/>
          <w:sz w:val="32"/>
          <w:szCs w:val="32"/>
        </w:rPr>
        <w:t>泰安市科学技术局</w:t>
      </w:r>
    </w:p>
    <w:p w14:paraId="75CB983C">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659"/>
        <w:textAlignment w:val="baseline"/>
        <w:rPr>
          <w:sz w:val="32"/>
          <w:szCs w:val="32"/>
        </w:rPr>
      </w:pPr>
      <w:r>
        <w:rPr>
          <w:b/>
          <w:bCs/>
          <w:spacing w:val="3"/>
          <w:sz w:val="32"/>
          <w:szCs w:val="32"/>
        </w:rPr>
        <w:t>提名意见：</w:t>
      </w:r>
    </w:p>
    <w:p w14:paraId="7B7360DA">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24" w:right="11" w:firstLine="633"/>
        <w:jc w:val="both"/>
        <w:textAlignment w:val="baseline"/>
      </w:pPr>
      <w:r>
        <w:rPr>
          <w:rFonts w:hint="eastAsia" w:ascii="仿宋" w:hAnsi="仿宋" w:eastAsia="仿宋" w:cs="仿宋"/>
          <w:snapToGrid w:val="0"/>
          <w:color w:val="000000"/>
          <w:spacing w:val="8"/>
          <w:kern w:val="0"/>
          <w:sz w:val="31"/>
          <w:szCs w:val="31"/>
          <w:lang w:val="en-US" w:eastAsia="zh-CN" w:bidi="ar-SA"/>
        </w:rPr>
        <w:t>该项目以研制特高压新型GIS用电压量测设备，并实现工程规模化应用为目标，发明了一种全新结构的同轴电容罐式电容式电压互感器，突破了</w:t>
      </w:r>
      <w:r>
        <w:rPr>
          <w:rFonts w:hint="default" w:ascii="仿宋" w:hAnsi="仿宋" w:eastAsia="仿宋" w:cs="仿宋"/>
          <w:snapToGrid w:val="0"/>
          <w:color w:val="000000"/>
          <w:spacing w:val="8"/>
          <w:kern w:val="0"/>
          <w:sz w:val="31"/>
          <w:szCs w:val="31"/>
          <w:lang w:val="en-US" w:eastAsia="zh-CN" w:bidi="ar-SA"/>
        </w:rPr>
        <w:t>宽温域</w:t>
      </w:r>
      <w:r>
        <w:rPr>
          <w:rFonts w:hint="eastAsia" w:ascii="仿宋" w:hAnsi="仿宋" w:eastAsia="仿宋" w:cs="仿宋"/>
          <w:snapToGrid w:val="0"/>
          <w:color w:val="000000"/>
          <w:spacing w:val="8"/>
          <w:kern w:val="0"/>
          <w:sz w:val="31"/>
          <w:szCs w:val="31"/>
          <w:lang w:val="en-US" w:eastAsia="zh-CN" w:bidi="ar-SA"/>
        </w:rPr>
        <w:t>适配</w:t>
      </w:r>
      <w:r>
        <w:rPr>
          <w:rFonts w:hint="default" w:ascii="仿宋" w:hAnsi="仿宋" w:eastAsia="仿宋" w:cs="仿宋"/>
          <w:snapToGrid w:val="0"/>
          <w:color w:val="000000"/>
          <w:spacing w:val="8"/>
          <w:kern w:val="0"/>
          <w:sz w:val="31"/>
          <w:szCs w:val="31"/>
          <w:lang w:val="en-US" w:eastAsia="zh-CN" w:bidi="ar-SA"/>
        </w:rPr>
        <w:t>、大分压比测量要求下</w:t>
      </w:r>
      <w:r>
        <w:rPr>
          <w:rFonts w:hint="eastAsia" w:ascii="仿宋" w:hAnsi="仿宋" w:eastAsia="仿宋" w:cs="仿宋"/>
          <w:snapToGrid w:val="0"/>
          <w:color w:val="000000"/>
          <w:spacing w:val="8"/>
          <w:kern w:val="0"/>
          <w:sz w:val="31"/>
          <w:szCs w:val="31"/>
          <w:lang w:val="en-US" w:eastAsia="zh-CN" w:bidi="ar-SA"/>
        </w:rPr>
        <w:t>的</w:t>
      </w:r>
      <w:r>
        <w:rPr>
          <w:rFonts w:hint="default" w:ascii="仿宋" w:hAnsi="仿宋" w:eastAsia="仿宋" w:cs="仿宋"/>
          <w:snapToGrid w:val="0"/>
          <w:color w:val="000000"/>
          <w:spacing w:val="8"/>
          <w:kern w:val="0"/>
          <w:sz w:val="31"/>
          <w:szCs w:val="31"/>
          <w:lang w:val="en-US" w:eastAsia="zh-CN" w:bidi="ar-SA"/>
        </w:rPr>
        <w:t>误差控制、与GIS集成后快速暂态过电压防护</w:t>
      </w:r>
      <w:r>
        <w:rPr>
          <w:rFonts w:hint="eastAsia" w:ascii="仿宋" w:hAnsi="仿宋" w:eastAsia="仿宋" w:cs="仿宋"/>
          <w:snapToGrid w:val="0"/>
          <w:color w:val="000000"/>
          <w:spacing w:val="8"/>
          <w:kern w:val="0"/>
          <w:sz w:val="31"/>
          <w:szCs w:val="31"/>
          <w:lang w:val="en-US" w:eastAsia="zh-CN" w:bidi="ar-SA"/>
        </w:rPr>
        <w:t>以及</w:t>
      </w:r>
      <w:r>
        <w:rPr>
          <w:rFonts w:hint="default" w:ascii="仿宋" w:hAnsi="仿宋" w:eastAsia="仿宋" w:cs="仿宋"/>
          <w:snapToGrid w:val="0"/>
          <w:color w:val="000000"/>
          <w:spacing w:val="8"/>
          <w:kern w:val="0"/>
          <w:sz w:val="31"/>
          <w:szCs w:val="31"/>
          <w:lang w:val="en-US" w:eastAsia="zh-CN" w:bidi="ar-SA"/>
        </w:rPr>
        <w:t>强电磁干扰下设备状态检测准效双低</w:t>
      </w:r>
      <w:r>
        <w:rPr>
          <w:rFonts w:hint="eastAsia" w:ascii="仿宋" w:hAnsi="仿宋" w:eastAsia="仿宋" w:cs="仿宋"/>
          <w:snapToGrid w:val="0"/>
          <w:color w:val="000000"/>
          <w:spacing w:val="8"/>
          <w:kern w:val="0"/>
          <w:sz w:val="31"/>
          <w:szCs w:val="31"/>
          <w:lang w:val="en-US" w:eastAsia="zh-CN" w:bidi="ar-SA"/>
        </w:rPr>
        <w:t>等技术难题，发明了具有同轴电极高压电容与陶瓷中压电容分压结构的新型CVT，提出了阻尼调控与寄生参数优化协同的内部过电压防护技术，提出了去标准器的误差群带电检测方法及植入式故障声振信号光纤采集方法，实现了国内外首台特高压罐式电容式电压互感器的研制及工程应用。该成果有力支撑</w:t>
      </w:r>
      <w:r>
        <w:rPr>
          <w:rFonts w:hint="eastAsia" w:cs="仿宋"/>
          <w:snapToGrid w:val="0"/>
          <w:color w:val="000000"/>
          <w:spacing w:val="8"/>
          <w:kern w:val="0"/>
          <w:sz w:val="31"/>
          <w:szCs w:val="31"/>
          <w:lang w:val="en-US" w:eastAsia="zh-CN" w:bidi="ar-SA"/>
        </w:rPr>
        <w:t>了</w:t>
      </w:r>
      <w:r>
        <w:rPr>
          <w:rFonts w:hint="eastAsia" w:ascii="仿宋" w:hAnsi="仿宋" w:eastAsia="仿宋" w:cs="仿宋"/>
          <w:snapToGrid w:val="0"/>
          <w:color w:val="000000"/>
          <w:spacing w:val="8"/>
          <w:kern w:val="0"/>
          <w:sz w:val="31"/>
          <w:szCs w:val="31"/>
          <w:lang w:val="en-US" w:eastAsia="zh-CN" w:bidi="ar-SA"/>
        </w:rPr>
        <w:t>我国特高压工程建设，进一步巩固了我国在高端电工装备领域的国际领先地位。</w:t>
      </w:r>
    </w:p>
    <w:p w14:paraId="28DB6A63">
      <w:pPr>
        <w:keepNext w:val="0"/>
        <w:keepLines w:val="0"/>
        <w:pageBreakBefore w:val="0"/>
        <w:widowControl/>
        <w:kinsoku w:val="0"/>
        <w:wordWrap/>
        <w:overflowPunct/>
        <w:topLinePunct w:val="0"/>
        <w:autoSpaceDE w:val="0"/>
        <w:autoSpaceDN w:val="0"/>
        <w:bidi w:val="0"/>
        <w:adjustRightInd w:val="0"/>
        <w:snapToGrid w:val="0"/>
        <w:spacing w:line="520" w:lineRule="exact"/>
        <w:ind w:left="667"/>
        <w:textAlignment w:val="baseline"/>
        <w:outlineLvl w:val="1"/>
        <w:rPr>
          <w:rFonts w:ascii="黑体" w:hAnsi="黑体" w:eastAsia="黑体" w:cs="黑体"/>
          <w:spacing w:val="8"/>
          <w:sz w:val="32"/>
          <w:szCs w:val="32"/>
        </w:rPr>
      </w:pPr>
      <w:r>
        <w:rPr>
          <w:rFonts w:ascii="黑体" w:hAnsi="黑体" w:eastAsia="黑体" w:cs="黑体"/>
          <w:spacing w:val="8"/>
          <w:sz w:val="32"/>
          <w:szCs w:val="32"/>
        </w:rPr>
        <w:t>三、提名等级</w:t>
      </w:r>
    </w:p>
    <w:p w14:paraId="3FA35A6D">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702"/>
        <w:textAlignment w:val="baseline"/>
        <w:rPr>
          <w:sz w:val="32"/>
          <w:szCs w:val="32"/>
        </w:rPr>
      </w:pPr>
      <w:r>
        <w:rPr>
          <w:spacing w:val="5"/>
          <w:sz w:val="32"/>
          <w:szCs w:val="32"/>
        </w:rPr>
        <w:t>山东省科学技术进步奖</w:t>
      </w:r>
      <w:r>
        <w:rPr>
          <w:rFonts w:hint="eastAsia"/>
          <w:spacing w:val="5"/>
          <w:sz w:val="32"/>
          <w:szCs w:val="32"/>
          <w:lang w:val="en-US" w:eastAsia="zh-CN"/>
        </w:rPr>
        <w:t>二</w:t>
      </w:r>
      <w:r>
        <w:rPr>
          <w:spacing w:val="5"/>
          <w:sz w:val="32"/>
          <w:szCs w:val="32"/>
        </w:rPr>
        <w:t>等奖</w:t>
      </w:r>
    </w:p>
    <w:p w14:paraId="72CED77D">
      <w:pPr>
        <w:keepNext w:val="0"/>
        <w:keepLines w:val="0"/>
        <w:pageBreakBefore w:val="0"/>
        <w:widowControl/>
        <w:kinsoku w:val="0"/>
        <w:wordWrap/>
        <w:overflowPunct/>
        <w:topLinePunct w:val="0"/>
        <w:autoSpaceDE w:val="0"/>
        <w:autoSpaceDN w:val="0"/>
        <w:bidi w:val="0"/>
        <w:adjustRightInd w:val="0"/>
        <w:snapToGrid w:val="0"/>
        <w:spacing w:line="520" w:lineRule="exact"/>
        <w:ind w:left="667"/>
        <w:textAlignment w:val="baseline"/>
        <w:outlineLvl w:val="1"/>
        <w:rPr>
          <w:rFonts w:ascii="黑体" w:hAnsi="黑体" w:eastAsia="黑体" w:cs="黑体"/>
          <w:spacing w:val="8"/>
          <w:sz w:val="32"/>
          <w:szCs w:val="32"/>
        </w:rPr>
      </w:pPr>
      <w:r>
        <w:rPr>
          <w:rFonts w:ascii="黑体" w:hAnsi="黑体" w:eastAsia="黑体" w:cs="黑体"/>
          <w:spacing w:val="8"/>
          <w:sz w:val="32"/>
          <w:szCs w:val="32"/>
        </w:rPr>
        <w:t>四、项目简介</w:t>
      </w:r>
    </w:p>
    <w:p w14:paraId="7F7C18DC">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697" w:firstLineChars="218"/>
        <w:textAlignment w:val="baseline"/>
        <w:rPr>
          <w:spacing w:val="5"/>
        </w:rPr>
      </w:pPr>
      <w:r>
        <w:rPr>
          <w:rFonts w:hint="eastAsia"/>
          <w:spacing w:val="5"/>
          <w:lang w:val="en-US" w:eastAsia="zh-CN"/>
        </w:rPr>
        <w:t>我国已建成世界上规模最大的特高压电网，十五五期间，还将建成十余项特高压交流工程。然而特高压电压互感器作为特高压工程控制保护的关键设备，受材料与结构制约，长期依赖进口，且传统特高压柱式CVT无法适应GIS变电站发展及应用需求，已成为我国电网发展的“卡脖子”关键技术，制约了我国特高压变电站紧凑化推广应用。</w:t>
      </w:r>
      <w:r>
        <w:rPr>
          <w:rFonts w:hint="default"/>
          <w:spacing w:val="5"/>
          <w:lang w:val="en-US" w:eastAsia="zh-CN"/>
        </w:rPr>
        <w:t>依托国家自然科学基金</w:t>
      </w:r>
      <w:r>
        <w:rPr>
          <w:rFonts w:hint="eastAsia"/>
          <w:spacing w:val="5"/>
          <w:lang w:val="en-US" w:eastAsia="zh-CN"/>
        </w:rPr>
        <w:t>等</w:t>
      </w:r>
      <w:r>
        <w:rPr>
          <w:rFonts w:hint="default"/>
          <w:spacing w:val="5"/>
          <w:lang w:val="en-US" w:eastAsia="zh-CN"/>
        </w:rPr>
        <w:t>重点项目，历经十余年产学研用联</w:t>
      </w:r>
      <w:r>
        <w:rPr>
          <w:rFonts w:hint="eastAsia"/>
          <w:spacing w:val="5"/>
          <w:lang w:val="en-US" w:eastAsia="zh-CN"/>
        </w:rPr>
        <w:t>合攻关，系统解决了结构设计、过电压防护、带电检测等关键问题，自主设计制造了国内外首台特高压罐式CVT，实现了超特高压核心装备制造的弯道超车，填补了国内外空白，打破了国外对GIS特高压电压互感器的技术垄断。主要创新点如下：</w:t>
      </w:r>
      <w:bookmarkStart w:id="0" w:name="_GoBack"/>
      <w:bookmarkEnd w:id="0"/>
    </w:p>
    <w:p w14:paraId="5FD86253">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697" w:firstLineChars="218"/>
        <w:textAlignment w:val="baseline"/>
        <w:rPr>
          <w:rFonts w:hint="eastAsia"/>
          <w:spacing w:val="5"/>
          <w:lang w:val="en-US" w:eastAsia="zh-CN"/>
        </w:rPr>
      </w:pPr>
      <w:r>
        <w:rPr>
          <w:rFonts w:hint="eastAsia"/>
          <w:spacing w:val="5"/>
          <w:lang w:val="en-US" w:eastAsia="zh-CN"/>
        </w:rPr>
        <w:t>1、发明了适用于GIS的双同轴电极的电容分压器新结构，提出了与之匹配的介质材料介电常数与温度系数协同调控技术，通过设置环形阻碍环的界面电场控制方法，解决了气体绝缘罐式CVT误差控制与绝缘问题，与进口特高压罐式电磁式电压互感器（PT）相比，在准确级持平的情况下耐压水平提升30%，成本降低20%；</w:t>
      </w:r>
    </w:p>
    <w:p w14:paraId="2989E1FE">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697" w:firstLineChars="218"/>
        <w:textAlignment w:val="baseline"/>
        <w:rPr>
          <w:rFonts w:hint="eastAsia"/>
          <w:spacing w:val="5"/>
          <w:lang w:val="en-US" w:eastAsia="zh-CN"/>
        </w:rPr>
      </w:pPr>
      <w:r>
        <w:rPr>
          <w:rFonts w:hint="eastAsia"/>
          <w:spacing w:val="5"/>
          <w:lang w:val="en-US" w:eastAsia="zh-CN"/>
        </w:rPr>
        <w:t>2、提出了阻尼调控的暂态过电压防护技术。揭示了高频电磁场下超大尺寸设备寄生参数引起电场分布不均及其对绝缘的损坏机理，提出了低通高阻的阻尼元件集成设计方法，集成前后比值误差变化量小于10-5，相位误差变化量小于0.1</w:t>
      </w:r>
      <w:r>
        <w:rPr>
          <w:rFonts w:hint="default"/>
          <w:spacing w:val="5"/>
          <w:lang w:val="en-US" w:eastAsia="zh-CN"/>
        </w:rPr>
        <w:t>'</w:t>
      </w:r>
      <w:r>
        <w:rPr>
          <w:rFonts w:hint="eastAsia"/>
          <w:spacing w:val="5"/>
          <w:lang w:val="en-US" w:eastAsia="zh-CN"/>
        </w:rPr>
        <w:t>，暂态过电压幅值降低30%以上，脉冲电流幅值降低70%以上，解决了暂态过电压防护难题；</w:t>
      </w:r>
    </w:p>
    <w:p w14:paraId="4C40F7CF">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697" w:firstLineChars="218"/>
        <w:textAlignment w:val="baseline"/>
        <w:rPr>
          <w:rFonts w:hint="eastAsia"/>
          <w:spacing w:val="5"/>
          <w:lang w:val="en-US" w:eastAsia="zh-CN"/>
        </w:rPr>
      </w:pPr>
      <w:r>
        <w:rPr>
          <w:rFonts w:hint="eastAsia"/>
          <w:spacing w:val="5"/>
          <w:lang w:val="en-US" w:eastAsia="zh-CN"/>
        </w:rPr>
        <w:t>3、提出特高压CVT状态光纤声振与群误差带电检测技术。揭示了邻近效应等运行环境因素对特高压CVT误差的影响规律，提出了分布式光纤KS-DCGAN故障识别算法与群误差带电检测方法，首次实现了特高压工况下全站CVT状态和交接试验的同步检测，单台检测时间缩短90%，解决了误差交接试验实施困难且运行状态无法准确获取的难题。</w:t>
      </w:r>
    </w:p>
    <w:p w14:paraId="0BC4AD1D">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leftChars="0" w:firstLine="697" w:firstLineChars="218"/>
        <w:textAlignment w:val="baseline"/>
        <w:rPr>
          <w:rFonts w:hint="eastAsia"/>
          <w:spacing w:val="5"/>
          <w:lang w:val="en-US" w:eastAsia="zh-CN"/>
        </w:rPr>
      </w:pPr>
      <w:r>
        <w:rPr>
          <w:rFonts w:hint="eastAsia"/>
          <w:spacing w:val="5"/>
          <w:lang w:val="en-US" w:eastAsia="zh-CN"/>
        </w:rPr>
        <w:t>目前产品通过了权威第三方的22项全部型式试验，整体性能优于特高压罐式PT。成果已应用于华中环网、川渝特高压等二十余项特高压工程。近</w:t>
      </w:r>
      <w:r>
        <w:rPr>
          <w:rFonts w:hint="eastAsia"/>
          <w:spacing w:val="5"/>
          <w:lang w:val="en-US" w:eastAsia="zh"/>
        </w:rPr>
        <w:t>两</w:t>
      </w:r>
      <w:r>
        <w:rPr>
          <w:rFonts w:hint="eastAsia"/>
          <w:spacing w:val="5"/>
          <w:lang w:val="en-US" w:eastAsia="zh-CN"/>
        </w:rPr>
        <w:t>年，新增销售额6.53亿元，新增利润1.85亿元，经济和社会效益显著。成果有力推动我国特高压工程建设发展，进一步巩固了我国在电工装备领域的世界领先地位。项目授权发明专利30项，实用新型专利10项，发布国家标准4项，行业标准7项，发表高水平（SCI、EI）论文36篇，获批2025年山东省首台（套）技术装备产品。</w:t>
      </w:r>
    </w:p>
    <w:p w14:paraId="47654023">
      <w:pPr>
        <w:spacing w:before="115" w:line="240" w:lineRule="auto"/>
        <w:ind w:left="733"/>
        <w:rPr>
          <w:rFonts w:ascii="黑体" w:hAnsi="黑体" w:eastAsia="黑体" w:cs="黑体"/>
          <w:sz w:val="32"/>
          <w:szCs w:val="32"/>
        </w:rPr>
      </w:pPr>
      <w:r>
        <w:rPr>
          <w:rFonts w:ascii="黑体" w:hAnsi="黑体" w:eastAsia="黑体" w:cs="黑体"/>
          <w:spacing w:val="-2"/>
          <w:sz w:val="32"/>
          <w:szCs w:val="32"/>
        </w:rPr>
        <w:t>五、主要知识产权和标准规范等目录</w:t>
      </w:r>
    </w:p>
    <w:p w14:paraId="6557B590">
      <w:pPr>
        <w:spacing w:line="240" w:lineRule="auto"/>
      </w:pPr>
    </w:p>
    <w:tbl>
      <w:tblPr>
        <w:tblStyle w:val="8"/>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8"/>
        <w:gridCol w:w="1347"/>
        <w:gridCol w:w="2137"/>
        <w:gridCol w:w="1076"/>
        <w:gridCol w:w="1683"/>
        <w:gridCol w:w="1621"/>
      </w:tblGrid>
      <w:tr w14:paraId="45CFF0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668" w:type="dxa"/>
            <w:textDirection w:val="tbRlV"/>
            <w:vAlign w:val="center"/>
          </w:tcPr>
          <w:p w14:paraId="21E43263">
            <w:pPr>
              <w:pStyle w:val="9"/>
              <w:spacing w:before="211" w:line="240" w:lineRule="auto"/>
              <w:ind w:left="1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序</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1"/>
                <w:sz w:val="24"/>
                <w:szCs w:val="24"/>
              </w:rPr>
              <w:t>号</w:t>
            </w:r>
          </w:p>
        </w:tc>
        <w:tc>
          <w:tcPr>
            <w:tcW w:w="1347" w:type="dxa"/>
            <w:vAlign w:val="center"/>
          </w:tcPr>
          <w:p w14:paraId="56971FFA">
            <w:pPr>
              <w:pStyle w:val="9"/>
              <w:spacing w:before="42" w:line="240" w:lineRule="auto"/>
              <w:ind w:left="20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知识产权</w:t>
            </w:r>
          </w:p>
          <w:p w14:paraId="1ED4C9D3">
            <w:pPr>
              <w:pStyle w:val="9"/>
              <w:spacing w:before="24" w:line="240" w:lineRule="auto"/>
              <w:ind w:left="1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6"/>
                <w:sz w:val="24"/>
                <w:szCs w:val="24"/>
              </w:rPr>
              <w:t>（标准）类</w:t>
            </w:r>
          </w:p>
          <w:p w14:paraId="7BC60329">
            <w:pPr>
              <w:pStyle w:val="9"/>
              <w:spacing w:before="27" w:line="240" w:lineRule="auto"/>
              <w:ind w:left="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别</w:t>
            </w:r>
          </w:p>
        </w:tc>
        <w:tc>
          <w:tcPr>
            <w:tcW w:w="2137" w:type="dxa"/>
            <w:vAlign w:val="center"/>
          </w:tcPr>
          <w:p w14:paraId="6FB351D7">
            <w:pPr>
              <w:pStyle w:val="9"/>
              <w:spacing w:before="194" w:line="240" w:lineRule="auto"/>
              <w:ind w:left="598" w:right="128" w:hanging="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知识产权（标准）</w:t>
            </w:r>
            <w:r>
              <w:rPr>
                <w:rFonts w:hint="eastAsia" w:asciiTheme="minorEastAsia" w:hAnsiTheme="minorEastAsia" w:eastAsiaTheme="minorEastAsia" w:cstheme="minorEastAsia"/>
                <w:spacing w:val="-4"/>
                <w:sz w:val="24"/>
                <w:szCs w:val="24"/>
              </w:rPr>
              <w:t>具体名称</w:t>
            </w:r>
          </w:p>
        </w:tc>
        <w:tc>
          <w:tcPr>
            <w:tcW w:w="1076" w:type="dxa"/>
            <w:vAlign w:val="center"/>
          </w:tcPr>
          <w:p w14:paraId="1D5EE986">
            <w:pPr>
              <w:pStyle w:val="9"/>
              <w:spacing w:before="194" w:line="240" w:lineRule="auto"/>
              <w:ind w:left="126" w:right="25" w:firstLine="20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7"/>
                <w:sz w:val="24"/>
                <w:szCs w:val="24"/>
              </w:rPr>
              <w:t>国家</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11"/>
                <w:sz w:val="24"/>
                <w:szCs w:val="24"/>
              </w:rPr>
              <w:t>（地区）</w:t>
            </w:r>
          </w:p>
        </w:tc>
        <w:tc>
          <w:tcPr>
            <w:tcW w:w="1683" w:type="dxa"/>
            <w:vAlign w:val="center"/>
          </w:tcPr>
          <w:p w14:paraId="486493EF">
            <w:pPr>
              <w:pStyle w:val="9"/>
              <w:spacing w:before="194" w:line="240" w:lineRule="auto"/>
              <w:ind w:left="368" w:right="118" w:hanging="2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授权（标准发</w:t>
            </w:r>
            <w:r>
              <w:rPr>
                <w:rFonts w:hint="eastAsia" w:asciiTheme="minorEastAsia" w:hAnsiTheme="minorEastAsia" w:eastAsiaTheme="minorEastAsia" w:cstheme="minorEastAsia"/>
                <w:spacing w:val="-15"/>
                <w:sz w:val="24"/>
                <w:szCs w:val="24"/>
              </w:rPr>
              <w:t>布）</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15"/>
                <w:sz w:val="24"/>
                <w:szCs w:val="24"/>
              </w:rPr>
              <w:t>日期</w:t>
            </w:r>
          </w:p>
        </w:tc>
        <w:tc>
          <w:tcPr>
            <w:tcW w:w="1621" w:type="dxa"/>
            <w:vAlign w:val="center"/>
          </w:tcPr>
          <w:p w14:paraId="67353E21">
            <w:pPr>
              <w:pStyle w:val="9"/>
              <w:spacing w:before="41" w:line="240" w:lineRule="auto"/>
              <w:ind w:left="1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8"/>
                <w:sz w:val="24"/>
                <w:szCs w:val="24"/>
              </w:rPr>
              <w:t>证书编号（标</w:t>
            </w:r>
          </w:p>
          <w:p w14:paraId="55E21755">
            <w:pPr>
              <w:pStyle w:val="9"/>
              <w:spacing w:before="24" w:line="240" w:lineRule="auto"/>
              <w:ind w:left="2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准批准发布</w:t>
            </w:r>
          </w:p>
          <w:p w14:paraId="2B347A72">
            <w:pPr>
              <w:pStyle w:val="9"/>
              <w:spacing w:before="28" w:line="240" w:lineRule="auto"/>
              <w:ind w:left="4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部门）</w:t>
            </w:r>
          </w:p>
        </w:tc>
      </w:tr>
      <w:tr w14:paraId="209CEF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68" w:type="dxa"/>
            <w:vAlign w:val="center"/>
          </w:tcPr>
          <w:p w14:paraId="0C40EB79">
            <w:pPr>
              <w:spacing w:before="232" w:line="240" w:lineRule="auto"/>
              <w:ind w:left="299"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347" w:type="dxa"/>
            <w:vAlign w:val="center"/>
          </w:tcPr>
          <w:p w14:paraId="0789DB61">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发明专利</w:t>
            </w:r>
          </w:p>
        </w:tc>
        <w:tc>
          <w:tcPr>
            <w:tcW w:w="2137" w:type="dxa"/>
            <w:vAlign w:val="center"/>
          </w:tcPr>
          <w:p w14:paraId="432592FE">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一种电容式电压互感器及其电容变差调节系统</w:t>
            </w:r>
          </w:p>
        </w:tc>
        <w:tc>
          <w:tcPr>
            <w:tcW w:w="1076" w:type="dxa"/>
            <w:vAlign w:val="center"/>
          </w:tcPr>
          <w:p w14:paraId="13820C59">
            <w:pPr>
              <w:keepNext w:val="0"/>
              <w:keepLines w:val="0"/>
              <w:widowControl/>
              <w:suppressLineNumbers w:val="0"/>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中国</w:t>
            </w:r>
          </w:p>
        </w:tc>
        <w:tc>
          <w:tcPr>
            <w:tcW w:w="1683" w:type="dxa"/>
            <w:vAlign w:val="center"/>
          </w:tcPr>
          <w:p w14:paraId="60D13F6D">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2025/7/18</w:t>
            </w:r>
          </w:p>
        </w:tc>
        <w:tc>
          <w:tcPr>
            <w:tcW w:w="1621" w:type="dxa"/>
            <w:vAlign w:val="center"/>
          </w:tcPr>
          <w:p w14:paraId="091ED1DB">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第8084576号</w:t>
            </w:r>
          </w:p>
        </w:tc>
      </w:tr>
      <w:tr w14:paraId="7DB57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561863C2">
            <w:pPr>
              <w:spacing w:line="240" w:lineRule="auto"/>
              <w:rPr>
                <w:rFonts w:hint="eastAsia" w:asciiTheme="minorEastAsia" w:hAnsiTheme="minorEastAsia" w:eastAsiaTheme="minorEastAsia" w:cstheme="minorEastAsia"/>
                <w:sz w:val="24"/>
                <w:szCs w:val="24"/>
              </w:rPr>
            </w:pPr>
          </w:p>
          <w:p w14:paraId="6AEA867A">
            <w:pPr>
              <w:spacing w:before="69" w:line="240" w:lineRule="auto"/>
              <w:ind w:left="276" w:leftChars="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2</w:t>
            </w:r>
          </w:p>
        </w:tc>
        <w:tc>
          <w:tcPr>
            <w:tcW w:w="1347" w:type="dxa"/>
            <w:vAlign w:val="center"/>
          </w:tcPr>
          <w:p w14:paraId="5E69031D">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发明专利</w:t>
            </w:r>
          </w:p>
        </w:tc>
        <w:tc>
          <w:tcPr>
            <w:tcW w:w="2137" w:type="dxa"/>
            <w:vAlign w:val="center"/>
          </w:tcPr>
          <w:p w14:paraId="30A82600">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一种设有阻尼装置的柱式电容式电压互感器</w:t>
            </w:r>
          </w:p>
        </w:tc>
        <w:tc>
          <w:tcPr>
            <w:tcW w:w="1076" w:type="dxa"/>
            <w:vAlign w:val="center"/>
          </w:tcPr>
          <w:p w14:paraId="47DC073B">
            <w:pPr>
              <w:keepNext w:val="0"/>
              <w:keepLines w:val="0"/>
              <w:widowControl/>
              <w:suppressLineNumbers w:val="0"/>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中国</w:t>
            </w:r>
          </w:p>
        </w:tc>
        <w:tc>
          <w:tcPr>
            <w:tcW w:w="1683" w:type="dxa"/>
            <w:vAlign w:val="center"/>
          </w:tcPr>
          <w:p w14:paraId="343DC65E">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2019/3/8</w:t>
            </w:r>
          </w:p>
        </w:tc>
        <w:tc>
          <w:tcPr>
            <w:tcW w:w="1621" w:type="dxa"/>
            <w:vAlign w:val="center"/>
          </w:tcPr>
          <w:p w14:paraId="6DBF0257">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 w:bidi="ar"/>
              </w:rPr>
              <w:t>第3284594号</w:t>
            </w:r>
          </w:p>
        </w:tc>
      </w:tr>
      <w:tr w14:paraId="69339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EBD81E5">
            <w:pPr>
              <w:spacing w:line="240" w:lineRule="auto"/>
              <w:rPr>
                <w:rFonts w:hint="eastAsia" w:asciiTheme="minorEastAsia" w:hAnsiTheme="minorEastAsia" w:eastAsiaTheme="minorEastAsia" w:cstheme="minorEastAsia"/>
                <w:sz w:val="24"/>
                <w:szCs w:val="24"/>
              </w:rPr>
            </w:pPr>
          </w:p>
          <w:p w14:paraId="32E76BCB">
            <w:pPr>
              <w:spacing w:before="69" w:line="240" w:lineRule="auto"/>
              <w:ind w:left="281"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3</w:t>
            </w:r>
          </w:p>
        </w:tc>
        <w:tc>
          <w:tcPr>
            <w:tcW w:w="1347" w:type="dxa"/>
            <w:vAlign w:val="center"/>
          </w:tcPr>
          <w:p w14:paraId="74293C27">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发明专利</w:t>
            </w:r>
          </w:p>
        </w:tc>
        <w:tc>
          <w:tcPr>
            <w:tcW w:w="2137" w:type="dxa"/>
            <w:vAlign w:val="center"/>
          </w:tcPr>
          <w:p w14:paraId="158C9B23">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DISTRIBUTED ACOUSTIC SENSING VOICE MESSAGE RECOGNITION SYSTEM AND METHOD</w:t>
            </w:r>
          </w:p>
        </w:tc>
        <w:tc>
          <w:tcPr>
            <w:tcW w:w="1076" w:type="dxa"/>
            <w:vAlign w:val="center"/>
          </w:tcPr>
          <w:p w14:paraId="5E342CA4">
            <w:pPr>
              <w:keepNext w:val="0"/>
              <w:keepLines w:val="0"/>
              <w:widowControl/>
              <w:suppressLineNumbers w:val="0"/>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美国</w:t>
            </w:r>
          </w:p>
        </w:tc>
        <w:tc>
          <w:tcPr>
            <w:tcW w:w="1683" w:type="dxa"/>
            <w:vAlign w:val="center"/>
          </w:tcPr>
          <w:p w14:paraId="2DB2493F">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2025/11/4</w:t>
            </w:r>
          </w:p>
        </w:tc>
        <w:tc>
          <w:tcPr>
            <w:tcW w:w="1621" w:type="dxa"/>
            <w:vAlign w:val="center"/>
          </w:tcPr>
          <w:p w14:paraId="65B8B42B">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US12460964B2</w:t>
            </w:r>
          </w:p>
        </w:tc>
      </w:tr>
      <w:tr w14:paraId="049C3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4580107C">
            <w:pPr>
              <w:spacing w:before="235" w:line="240" w:lineRule="auto"/>
              <w:ind w:left="275"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4</w:t>
            </w:r>
          </w:p>
        </w:tc>
        <w:tc>
          <w:tcPr>
            <w:tcW w:w="1347" w:type="dxa"/>
            <w:vAlign w:val="center"/>
          </w:tcPr>
          <w:p w14:paraId="4126BABF">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发明专利</w:t>
            </w:r>
          </w:p>
        </w:tc>
        <w:tc>
          <w:tcPr>
            <w:tcW w:w="2137" w:type="dxa"/>
            <w:vAlign w:val="center"/>
          </w:tcPr>
          <w:p w14:paraId="005ED562">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一种正温度系数的组合陶瓷电容器</w:t>
            </w:r>
          </w:p>
        </w:tc>
        <w:tc>
          <w:tcPr>
            <w:tcW w:w="1076" w:type="dxa"/>
            <w:vAlign w:val="center"/>
          </w:tcPr>
          <w:p w14:paraId="0E466F5A">
            <w:pPr>
              <w:pStyle w:val="9"/>
              <w:spacing w:before="193" w:line="240" w:lineRule="auto"/>
              <w:ind w:left="327"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6"/>
                <w:sz w:val="24"/>
                <w:szCs w:val="24"/>
              </w:rPr>
              <w:t>中国</w:t>
            </w:r>
          </w:p>
        </w:tc>
        <w:tc>
          <w:tcPr>
            <w:tcW w:w="1683" w:type="dxa"/>
            <w:vAlign w:val="center"/>
          </w:tcPr>
          <w:p w14:paraId="70E4D3F4">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2025/8/1</w:t>
            </w:r>
          </w:p>
        </w:tc>
        <w:tc>
          <w:tcPr>
            <w:tcW w:w="1621" w:type="dxa"/>
            <w:vAlign w:val="center"/>
          </w:tcPr>
          <w:p w14:paraId="18E3D740">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第8121003号</w:t>
            </w:r>
          </w:p>
        </w:tc>
      </w:tr>
      <w:tr w14:paraId="2E26F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35E238FD">
            <w:pPr>
              <w:spacing w:before="85" w:line="240" w:lineRule="auto"/>
              <w:ind w:left="283"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5</w:t>
            </w:r>
          </w:p>
        </w:tc>
        <w:tc>
          <w:tcPr>
            <w:tcW w:w="1347" w:type="dxa"/>
            <w:vAlign w:val="center"/>
          </w:tcPr>
          <w:p w14:paraId="29033F3A">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发明专利</w:t>
            </w:r>
          </w:p>
        </w:tc>
        <w:tc>
          <w:tcPr>
            <w:tcW w:w="2137" w:type="dxa"/>
            <w:vAlign w:val="center"/>
          </w:tcPr>
          <w:p w14:paraId="6E2F46C6">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测量电容式电压互感器一次侧的暂态过电压的装置及方法</w:t>
            </w:r>
          </w:p>
        </w:tc>
        <w:tc>
          <w:tcPr>
            <w:tcW w:w="1076" w:type="dxa"/>
            <w:vAlign w:val="center"/>
          </w:tcPr>
          <w:p w14:paraId="11832183">
            <w:pPr>
              <w:pStyle w:val="9"/>
              <w:spacing w:before="39" w:line="240" w:lineRule="auto"/>
              <w:ind w:left="327"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6"/>
                <w:sz w:val="24"/>
                <w:szCs w:val="24"/>
              </w:rPr>
              <w:t>中国</w:t>
            </w:r>
          </w:p>
        </w:tc>
        <w:tc>
          <w:tcPr>
            <w:tcW w:w="1683" w:type="dxa"/>
            <w:vAlign w:val="center"/>
          </w:tcPr>
          <w:p w14:paraId="7067F8EF">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2023/10/3</w:t>
            </w:r>
          </w:p>
        </w:tc>
        <w:tc>
          <w:tcPr>
            <w:tcW w:w="1621" w:type="dxa"/>
            <w:vAlign w:val="center"/>
          </w:tcPr>
          <w:p w14:paraId="4525F43F">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第6377466号</w:t>
            </w:r>
          </w:p>
        </w:tc>
      </w:tr>
      <w:tr w14:paraId="76EA5C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1703C391">
            <w:pPr>
              <w:spacing w:line="240" w:lineRule="auto"/>
              <w:rPr>
                <w:rFonts w:hint="eastAsia" w:asciiTheme="minorEastAsia" w:hAnsiTheme="minorEastAsia" w:eastAsiaTheme="minorEastAsia" w:cstheme="minorEastAsia"/>
                <w:sz w:val="24"/>
                <w:szCs w:val="24"/>
              </w:rPr>
            </w:pPr>
          </w:p>
          <w:p w14:paraId="68EE76A4">
            <w:pPr>
              <w:spacing w:before="69" w:line="240" w:lineRule="auto"/>
              <w:ind w:left="281"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6</w:t>
            </w:r>
          </w:p>
        </w:tc>
        <w:tc>
          <w:tcPr>
            <w:tcW w:w="1347" w:type="dxa"/>
            <w:vAlign w:val="center"/>
          </w:tcPr>
          <w:p w14:paraId="50C1ED65">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发明专利</w:t>
            </w:r>
          </w:p>
        </w:tc>
        <w:tc>
          <w:tcPr>
            <w:tcW w:w="2137" w:type="dxa"/>
            <w:vAlign w:val="center"/>
          </w:tcPr>
          <w:p w14:paraId="571BC9BE">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一种带有屏蔽电容芯子的耦合电容分压器</w:t>
            </w:r>
          </w:p>
        </w:tc>
        <w:tc>
          <w:tcPr>
            <w:tcW w:w="1076" w:type="dxa"/>
            <w:vAlign w:val="center"/>
          </w:tcPr>
          <w:p w14:paraId="3D40E82C">
            <w:pPr>
              <w:spacing w:line="240" w:lineRule="auto"/>
              <w:rPr>
                <w:rFonts w:hint="eastAsia" w:asciiTheme="minorEastAsia" w:hAnsiTheme="minorEastAsia" w:eastAsiaTheme="minorEastAsia" w:cstheme="minorEastAsia"/>
                <w:sz w:val="24"/>
                <w:szCs w:val="24"/>
              </w:rPr>
            </w:pPr>
          </w:p>
          <w:p w14:paraId="143C3715">
            <w:pPr>
              <w:pStyle w:val="9"/>
              <w:spacing w:before="78" w:line="240" w:lineRule="auto"/>
              <w:ind w:left="327"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6"/>
                <w:sz w:val="24"/>
                <w:szCs w:val="24"/>
              </w:rPr>
              <w:t>中国</w:t>
            </w:r>
          </w:p>
        </w:tc>
        <w:tc>
          <w:tcPr>
            <w:tcW w:w="1683" w:type="dxa"/>
            <w:vAlign w:val="center"/>
          </w:tcPr>
          <w:p w14:paraId="5E4627CC">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2018/8/14</w:t>
            </w:r>
          </w:p>
        </w:tc>
        <w:tc>
          <w:tcPr>
            <w:tcW w:w="1621" w:type="dxa"/>
            <w:vAlign w:val="center"/>
          </w:tcPr>
          <w:p w14:paraId="1DA12949">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第3034067号</w:t>
            </w:r>
          </w:p>
        </w:tc>
      </w:tr>
      <w:tr w14:paraId="0847A5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0B0E8C80">
            <w:pPr>
              <w:spacing w:before="237" w:line="240" w:lineRule="auto"/>
              <w:ind w:left="280"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7</w:t>
            </w:r>
          </w:p>
        </w:tc>
        <w:tc>
          <w:tcPr>
            <w:tcW w:w="1347" w:type="dxa"/>
            <w:vAlign w:val="center"/>
          </w:tcPr>
          <w:p w14:paraId="2B2AF427">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发明专利</w:t>
            </w:r>
          </w:p>
        </w:tc>
        <w:tc>
          <w:tcPr>
            <w:tcW w:w="2137" w:type="dxa"/>
            <w:vAlign w:val="center"/>
          </w:tcPr>
          <w:p w14:paraId="3E1C2419">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一种电容式电压互感器及其运行状态在线监测方法</w:t>
            </w:r>
          </w:p>
        </w:tc>
        <w:tc>
          <w:tcPr>
            <w:tcW w:w="1076" w:type="dxa"/>
            <w:vAlign w:val="center"/>
          </w:tcPr>
          <w:p w14:paraId="57AA47F0">
            <w:pPr>
              <w:pStyle w:val="9"/>
              <w:spacing w:before="192" w:line="240" w:lineRule="auto"/>
              <w:ind w:left="327"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6"/>
                <w:sz w:val="24"/>
                <w:szCs w:val="24"/>
              </w:rPr>
              <w:t>中国</w:t>
            </w:r>
          </w:p>
        </w:tc>
        <w:tc>
          <w:tcPr>
            <w:tcW w:w="1683" w:type="dxa"/>
            <w:vAlign w:val="center"/>
          </w:tcPr>
          <w:p w14:paraId="10F7C619">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2024/8/2</w:t>
            </w:r>
          </w:p>
        </w:tc>
        <w:tc>
          <w:tcPr>
            <w:tcW w:w="1621" w:type="dxa"/>
            <w:vAlign w:val="center"/>
          </w:tcPr>
          <w:p w14:paraId="70CA46E4">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第7247555号</w:t>
            </w:r>
          </w:p>
        </w:tc>
      </w:tr>
      <w:tr w14:paraId="466D8C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69DF5D34">
            <w:pPr>
              <w:spacing w:line="240" w:lineRule="auto"/>
              <w:rPr>
                <w:rFonts w:hint="eastAsia" w:asciiTheme="minorEastAsia" w:hAnsiTheme="minorEastAsia" w:eastAsiaTheme="minorEastAsia" w:cstheme="minorEastAsia"/>
                <w:sz w:val="24"/>
                <w:szCs w:val="24"/>
              </w:rPr>
            </w:pPr>
          </w:p>
          <w:p w14:paraId="341528DD">
            <w:pPr>
              <w:spacing w:before="69" w:line="240" w:lineRule="auto"/>
              <w:ind w:left="286"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8</w:t>
            </w:r>
          </w:p>
        </w:tc>
        <w:tc>
          <w:tcPr>
            <w:tcW w:w="1347" w:type="dxa"/>
            <w:vAlign w:val="center"/>
          </w:tcPr>
          <w:p w14:paraId="0070BF24">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发明专利</w:t>
            </w:r>
          </w:p>
        </w:tc>
        <w:tc>
          <w:tcPr>
            <w:tcW w:w="2137" w:type="dxa"/>
            <w:vAlign w:val="center"/>
          </w:tcPr>
          <w:p w14:paraId="588FDCB8">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一种罐式电容式电压互感器暂态特性的等效试验回路</w:t>
            </w:r>
          </w:p>
        </w:tc>
        <w:tc>
          <w:tcPr>
            <w:tcW w:w="1076" w:type="dxa"/>
            <w:vAlign w:val="center"/>
          </w:tcPr>
          <w:p w14:paraId="52D3FA22">
            <w:pPr>
              <w:spacing w:line="240" w:lineRule="auto"/>
              <w:rPr>
                <w:rFonts w:hint="eastAsia" w:asciiTheme="minorEastAsia" w:hAnsiTheme="minorEastAsia" w:eastAsiaTheme="minorEastAsia" w:cstheme="minorEastAsia"/>
                <w:sz w:val="24"/>
                <w:szCs w:val="24"/>
              </w:rPr>
            </w:pPr>
          </w:p>
          <w:p w14:paraId="60432668">
            <w:pPr>
              <w:pStyle w:val="9"/>
              <w:spacing w:before="78" w:line="240" w:lineRule="auto"/>
              <w:ind w:left="327"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6"/>
                <w:sz w:val="24"/>
                <w:szCs w:val="24"/>
              </w:rPr>
              <w:t>中国</w:t>
            </w:r>
          </w:p>
        </w:tc>
        <w:tc>
          <w:tcPr>
            <w:tcW w:w="1683" w:type="dxa"/>
            <w:vAlign w:val="center"/>
          </w:tcPr>
          <w:p w14:paraId="6BEEDB2C">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2018/3/30</w:t>
            </w:r>
          </w:p>
        </w:tc>
        <w:tc>
          <w:tcPr>
            <w:tcW w:w="1621" w:type="dxa"/>
            <w:vAlign w:val="center"/>
          </w:tcPr>
          <w:p w14:paraId="6BA5C35F">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第2863888号</w:t>
            </w:r>
          </w:p>
        </w:tc>
      </w:tr>
      <w:tr w14:paraId="1F1284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0D1CBDC5">
            <w:pPr>
              <w:spacing w:line="240" w:lineRule="auto"/>
              <w:rPr>
                <w:rFonts w:hint="eastAsia" w:asciiTheme="minorEastAsia" w:hAnsiTheme="minorEastAsia" w:eastAsiaTheme="minorEastAsia" w:cstheme="minorEastAsia"/>
                <w:sz w:val="24"/>
                <w:szCs w:val="24"/>
              </w:rPr>
            </w:pPr>
          </w:p>
          <w:p w14:paraId="05AA4A64">
            <w:pPr>
              <w:spacing w:before="69" w:line="240" w:lineRule="auto"/>
              <w:ind w:left="281"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9</w:t>
            </w:r>
          </w:p>
        </w:tc>
        <w:tc>
          <w:tcPr>
            <w:tcW w:w="1347" w:type="dxa"/>
            <w:vAlign w:val="center"/>
          </w:tcPr>
          <w:p w14:paraId="52063225">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实用新型专利</w:t>
            </w:r>
          </w:p>
        </w:tc>
        <w:tc>
          <w:tcPr>
            <w:tcW w:w="2137" w:type="dxa"/>
            <w:vAlign w:val="center"/>
          </w:tcPr>
          <w:p w14:paraId="7CB532E6">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一种特高压变电站模拟投运校验系统</w:t>
            </w:r>
          </w:p>
        </w:tc>
        <w:tc>
          <w:tcPr>
            <w:tcW w:w="1076" w:type="dxa"/>
            <w:vAlign w:val="center"/>
          </w:tcPr>
          <w:p w14:paraId="521F343F">
            <w:pPr>
              <w:spacing w:line="240" w:lineRule="auto"/>
              <w:rPr>
                <w:rFonts w:hint="eastAsia" w:asciiTheme="minorEastAsia" w:hAnsiTheme="minorEastAsia" w:eastAsiaTheme="minorEastAsia" w:cstheme="minorEastAsia"/>
                <w:sz w:val="24"/>
                <w:szCs w:val="24"/>
              </w:rPr>
            </w:pPr>
          </w:p>
          <w:p w14:paraId="295654A8">
            <w:pPr>
              <w:pStyle w:val="9"/>
              <w:spacing w:before="78" w:line="240" w:lineRule="auto"/>
              <w:ind w:left="327"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6"/>
                <w:sz w:val="24"/>
                <w:szCs w:val="24"/>
              </w:rPr>
              <w:t>中国</w:t>
            </w:r>
          </w:p>
        </w:tc>
        <w:tc>
          <w:tcPr>
            <w:tcW w:w="1683" w:type="dxa"/>
            <w:vAlign w:val="center"/>
          </w:tcPr>
          <w:p w14:paraId="492B9BF7">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2016/11/09</w:t>
            </w:r>
          </w:p>
        </w:tc>
        <w:tc>
          <w:tcPr>
            <w:tcW w:w="1621" w:type="dxa"/>
            <w:vAlign w:val="center"/>
          </w:tcPr>
          <w:p w14:paraId="7673E8A7">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第5656165号</w:t>
            </w:r>
          </w:p>
        </w:tc>
      </w:tr>
      <w:tr w14:paraId="5EA07C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1E59B513">
            <w:pPr>
              <w:spacing w:before="237" w:line="240" w:lineRule="auto"/>
              <w:ind w:left="239"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pacing w:val="-15"/>
                <w:sz w:val="24"/>
                <w:szCs w:val="24"/>
              </w:rPr>
              <w:t>10</w:t>
            </w:r>
          </w:p>
        </w:tc>
        <w:tc>
          <w:tcPr>
            <w:tcW w:w="1347" w:type="dxa"/>
            <w:vAlign w:val="center"/>
          </w:tcPr>
          <w:p w14:paraId="3657A177">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行业标准</w:t>
            </w:r>
          </w:p>
        </w:tc>
        <w:tc>
          <w:tcPr>
            <w:tcW w:w="2137" w:type="dxa"/>
            <w:vAlign w:val="center"/>
          </w:tcPr>
          <w:p w14:paraId="2CF73BE2">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1000kV罐式电压互感器技术规范</w:t>
            </w:r>
          </w:p>
        </w:tc>
        <w:tc>
          <w:tcPr>
            <w:tcW w:w="1076" w:type="dxa"/>
            <w:vAlign w:val="center"/>
          </w:tcPr>
          <w:p w14:paraId="44E1F9A2">
            <w:pPr>
              <w:pStyle w:val="9"/>
              <w:spacing w:before="195" w:line="240" w:lineRule="auto"/>
              <w:ind w:left="327"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6"/>
                <w:sz w:val="24"/>
                <w:szCs w:val="24"/>
              </w:rPr>
              <w:t>中国</w:t>
            </w:r>
          </w:p>
        </w:tc>
        <w:tc>
          <w:tcPr>
            <w:tcW w:w="1683" w:type="dxa"/>
            <w:vAlign w:val="center"/>
          </w:tcPr>
          <w:p w14:paraId="6F4EE43A">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2025/6/30</w:t>
            </w:r>
          </w:p>
        </w:tc>
        <w:tc>
          <w:tcPr>
            <w:tcW w:w="1621" w:type="dxa"/>
            <w:vAlign w:val="center"/>
          </w:tcPr>
          <w:p w14:paraId="2309ADF0">
            <w:pPr>
              <w:keepNext w:val="0"/>
              <w:keepLines w:val="0"/>
              <w:widowControl/>
              <w:suppressLineNumbers w:val="0"/>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kern w:val="0"/>
                <w:sz w:val="24"/>
                <w:szCs w:val="24"/>
                <w:u w:val="none"/>
                <w:lang w:val="en-US" w:eastAsia="zh-CN" w:bidi="ar"/>
              </w:rPr>
              <w:t>国家能源局</w:t>
            </w:r>
          </w:p>
        </w:tc>
      </w:tr>
    </w:tbl>
    <w:p w14:paraId="26B4D7A8">
      <w:pPr>
        <w:spacing w:before="290" w:line="240" w:lineRule="auto"/>
        <w:ind w:left="734"/>
        <w:outlineLvl w:val="1"/>
        <w:rPr>
          <w:rFonts w:ascii="黑体" w:hAnsi="黑体" w:eastAsia="黑体" w:cs="黑体"/>
          <w:sz w:val="30"/>
          <w:szCs w:val="30"/>
        </w:rPr>
      </w:pPr>
      <w:r>
        <w:rPr>
          <w:rFonts w:ascii="黑体" w:hAnsi="黑体" w:eastAsia="黑体" w:cs="黑体"/>
          <w:spacing w:val="-2"/>
          <w:sz w:val="30"/>
          <w:szCs w:val="30"/>
        </w:rPr>
        <w:t>六、主要完成人、主要完成单位情况</w:t>
      </w:r>
    </w:p>
    <w:p w14:paraId="3D7C624C">
      <w:pPr>
        <w:spacing w:line="240" w:lineRule="auto"/>
      </w:pPr>
    </w:p>
    <w:tbl>
      <w:tblPr>
        <w:tblStyle w:val="8"/>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0"/>
        <w:gridCol w:w="1249"/>
        <w:gridCol w:w="3310"/>
        <w:gridCol w:w="3313"/>
      </w:tblGrid>
      <w:tr w14:paraId="2F65E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8532" w:type="dxa"/>
            <w:gridSpan w:val="4"/>
            <w:vAlign w:val="top"/>
          </w:tcPr>
          <w:p w14:paraId="469F1598">
            <w:pPr>
              <w:pStyle w:val="9"/>
              <w:spacing w:before="35" w:line="240" w:lineRule="auto"/>
              <w:ind w:left="3538"/>
              <w:rPr>
                <w:sz w:val="20"/>
                <w:szCs w:val="20"/>
              </w:rPr>
            </w:pPr>
            <w:r>
              <w:rPr>
                <w:spacing w:val="8"/>
                <w:sz w:val="20"/>
                <w:szCs w:val="20"/>
              </w:rPr>
              <w:t>主要完成人情况</w:t>
            </w:r>
          </w:p>
        </w:tc>
      </w:tr>
      <w:tr w14:paraId="43811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14:paraId="797923D3">
            <w:pPr>
              <w:pStyle w:val="9"/>
              <w:spacing w:before="33" w:line="240" w:lineRule="auto"/>
              <w:ind w:left="126"/>
              <w:rPr>
                <w:sz w:val="20"/>
                <w:szCs w:val="20"/>
              </w:rPr>
            </w:pPr>
            <w:r>
              <w:rPr>
                <w:spacing w:val="4"/>
                <w:sz w:val="20"/>
                <w:szCs w:val="20"/>
              </w:rPr>
              <w:t>排名</w:t>
            </w:r>
          </w:p>
        </w:tc>
        <w:tc>
          <w:tcPr>
            <w:tcW w:w="1249" w:type="dxa"/>
            <w:vAlign w:val="top"/>
          </w:tcPr>
          <w:p w14:paraId="1E39D39F">
            <w:pPr>
              <w:pStyle w:val="9"/>
              <w:spacing w:before="33" w:line="240" w:lineRule="auto"/>
              <w:ind w:left="418"/>
              <w:rPr>
                <w:sz w:val="20"/>
                <w:szCs w:val="20"/>
              </w:rPr>
            </w:pPr>
            <w:r>
              <w:rPr>
                <w:spacing w:val="4"/>
                <w:sz w:val="20"/>
                <w:szCs w:val="20"/>
              </w:rPr>
              <w:t>姓名</w:t>
            </w:r>
          </w:p>
        </w:tc>
        <w:tc>
          <w:tcPr>
            <w:tcW w:w="3310" w:type="dxa"/>
            <w:vAlign w:val="top"/>
          </w:tcPr>
          <w:p w14:paraId="6D25A032">
            <w:pPr>
              <w:pStyle w:val="9"/>
              <w:spacing w:before="33" w:line="240" w:lineRule="auto"/>
              <w:ind w:left="1243"/>
              <w:rPr>
                <w:sz w:val="20"/>
                <w:szCs w:val="20"/>
              </w:rPr>
            </w:pPr>
            <w:r>
              <w:rPr>
                <w:spacing w:val="6"/>
                <w:sz w:val="20"/>
                <w:szCs w:val="20"/>
              </w:rPr>
              <w:t>工作单位</w:t>
            </w:r>
          </w:p>
        </w:tc>
        <w:tc>
          <w:tcPr>
            <w:tcW w:w="3313" w:type="dxa"/>
            <w:vAlign w:val="top"/>
          </w:tcPr>
          <w:p w14:paraId="72CAFF68">
            <w:pPr>
              <w:pStyle w:val="9"/>
              <w:spacing w:before="33" w:line="240" w:lineRule="auto"/>
              <w:ind w:left="1242"/>
              <w:rPr>
                <w:sz w:val="20"/>
                <w:szCs w:val="20"/>
              </w:rPr>
            </w:pPr>
            <w:r>
              <w:rPr>
                <w:spacing w:val="6"/>
                <w:sz w:val="20"/>
                <w:szCs w:val="20"/>
              </w:rPr>
              <w:t>完成单位</w:t>
            </w:r>
          </w:p>
        </w:tc>
      </w:tr>
      <w:tr w14:paraId="60FA0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6B9949C8">
            <w:pPr>
              <w:spacing w:before="68" w:line="240" w:lineRule="auto"/>
              <w:ind w:left="278" w:leftChars="0"/>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249" w:type="dxa"/>
            <w:vAlign w:val="center"/>
          </w:tcPr>
          <w:p w14:paraId="2A1FE9AF">
            <w:pPr>
              <w:jc w:val="center"/>
              <w:rPr>
                <w:sz w:val="20"/>
                <w:szCs w:val="20"/>
              </w:rPr>
            </w:pPr>
            <w:r>
              <w:rPr>
                <w:rFonts w:hint="eastAsia" w:ascii="Times New Roman"/>
                <w:color w:val="000000"/>
                <w:sz w:val="21"/>
                <w:szCs w:val="20"/>
              </w:rPr>
              <w:t>李璿</w:t>
            </w:r>
          </w:p>
        </w:tc>
        <w:tc>
          <w:tcPr>
            <w:tcW w:w="3310" w:type="dxa"/>
            <w:vAlign w:val="center"/>
          </w:tcPr>
          <w:p w14:paraId="01FBD7C6">
            <w:pPr>
              <w:jc w:val="center"/>
              <w:rPr>
                <w:sz w:val="20"/>
                <w:szCs w:val="20"/>
              </w:rPr>
            </w:pPr>
            <w:r>
              <w:rPr>
                <w:rFonts w:hint="eastAsia" w:ascii="Times New Roman"/>
                <w:color w:val="000000"/>
                <w:sz w:val="21"/>
                <w:szCs w:val="20"/>
                <w:woUserID w:val="3"/>
              </w:rPr>
              <w:t>中国电力科学研究院有限公司</w:t>
            </w:r>
          </w:p>
        </w:tc>
        <w:tc>
          <w:tcPr>
            <w:tcW w:w="3313" w:type="dxa"/>
            <w:vAlign w:val="center"/>
          </w:tcPr>
          <w:p w14:paraId="0B651B38">
            <w:pPr>
              <w:jc w:val="center"/>
              <w:rPr>
                <w:sz w:val="20"/>
                <w:szCs w:val="20"/>
                <w:highlight w:val="none"/>
              </w:rPr>
            </w:pPr>
            <w:r>
              <w:rPr>
                <w:rFonts w:hint="eastAsia" w:ascii="宋体" w:hAnsi="宋体" w:eastAsia="宋体" w:cs="宋体"/>
                <w:color w:val="000000"/>
                <w:kern w:val="2"/>
                <w:sz w:val="21"/>
                <w:szCs w:val="21"/>
                <w:highlight w:val="none"/>
                <w:lang w:val="en-US" w:eastAsia="zh-CN" w:bidi="ar"/>
                <w:woUserID w:val="3"/>
              </w:rPr>
              <w:t>中国电力科学研究院有限公司</w:t>
            </w:r>
          </w:p>
        </w:tc>
      </w:tr>
      <w:tr w14:paraId="30932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40C1A967">
            <w:pPr>
              <w:spacing w:before="68" w:line="240" w:lineRule="auto"/>
              <w:ind w:left="278" w:leftChars="0"/>
              <w:rPr>
                <w:rFonts w:hint="default" w:ascii="Times New Roman" w:hAnsi="Times New Roman" w:eastAsia="宋体" w:cs="Times New Roman"/>
                <w:sz w:val="20"/>
                <w:szCs w:val="20"/>
                <w:lang w:val="en-US" w:eastAsia="zh-CN"/>
              </w:rPr>
            </w:pPr>
            <w:r>
              <w:rPr>
                <w:rFonts w:ascii="Times New Roman" w:hAnsi="Times New Roman" w:eastAsia="Times New Roman" w:cs="Times New Roman"/>
                <w:sz w:val="20"/>
                <w:szCs w:val="20"/>
              </w:rPr>
              <w:t>2</w:t>
            </w:r>
          </w:p>
        </w:tc>
        <w:tc>
          <w:tcPr>
            <w:tcW w:w="1249" w:type="dxa"/>
            <w:vAlign w:val="center"/>
          </w:tcPr>
          <w:p w14:paraId="3E95A893">
            <w:pPr>
              <w:jc w:val="center"/>
              <w:rPr>
                <w:sz w:val="20"/>
                <w:szCs w:val="20"/>
              </w:rPr>
            </w:pPr>
            <w:r>
              <w:rPr>
                <w:rFonts w:hint="eastAsia" w:ascii="Times New Roman"/>
                <w:color w:val="000000"/>
                <w:sz w:val="21"/>
                <w:szCs w:val="20"/>
              </w:rPr>
              <w:t>王晨</w:t>
            </w:r>
          </w:p>
        </w:tc>
        <w:tc>
          <w:tcPr>
            <w:tcW w:w="3310" w:type="dxa"/>
            <w:vAlign w:val="center"/>
          </w:tcPr>
          <w:p w14:paraId="604EA9AB">
            <w:pPr>
              <w:jc w:val="center"/>
              <w:rPr>
                <w:sz w:val="20"/>
                <w:szCs w:val="20"/>
              </w:rPr>
            </w:pPr>
            <w:r>
              <w:rPr>
                <w:rFonts w:hint="eastAsia" w:ascii="Times New Roman"/>
                <w:color w:val="000000"/>
                <w:sz w:val="21"/>
                <w:szCs w:val="20"/>
              </w:rPr>
              <w:t>山东省科学院激光研究所</w:t>
            </w:r>
          </w:p>
        </w:tc>
        <w:tc>
          <w:tcPr>
            <w:tcW w:w="3313" w:type="dxa"/>
            <w:vAlign w:val="center"/>
          </w:tcPr>
          <w:p w14:paraId="7CF13870">
            <w:pPr>
              <w:jc w:val="center"/>
              <w:rPr>
                <w:sz w:val="20"/>
                <w:szCs w:val="20"/>
                <w:highlight w:val="none"/>
              </w:rPr>
            </w:pPr>
            <w:r>
              <w:rPr>
                <w:rFonts w:hint="eastAsia" w:ascii="Times New Roman"/>
                <w:color w:val="000000"/>
                <w:sz w:val="21"/>
                <w:szCs w:val="20"/>
                <w:highlight w:val="none"/>
              </w:rPr>
              <w:t>山东省科学院激光研究所</w:t>
            </w:r>
          </w:p>
        </w:tc>
      </w:tr>
      <w:tr w14:paraId="30F2EA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6693AC5B">
            <w:pPr>
              <w:spacing w:before="203" w:line="240" w:lineRule="auto"/>
              <w:ind w:left="282"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z w:val="20"/>
                <w:szCs w:val="20"/>
              </w:rPr>
              <w:t>3</w:t>
            </w:r>
          </w:p>
        </w:tc>
        <w:tc>
          <w:tcPr>
            <w:tcW w:w="1249" w:type="dxa"/>
            <w:vAlign w:val="center"/>
          </w:tcPr>
          <w:p w14:paraId="1D2E38A8">
            <w:pPr>
              <w:jc w:val="center"/>
              <w:rPr>
                <w:sz w:val="20"/>
                <w:szCs w:val="20"/>
              </w:rPr>
            </w:pPr>
            <w:r>
              <w:rPr>
                <w:rFonts w:hint="eastAsia" w:ascii="Times New Roman"/>
                <w:color w:val="000000"/>
                <w:sz w:val="21"/>
                <w:szCs w:val="20"/>
              </w:rPr>
              <w:t>宋继明</w:t>
            </w:r>
          </w:p>
        </w:tc>
        <w:tc>
          <w:tcPr>
            <w:tcW w:w="3310" w:type="dxa"/>
            <w:vAlign w:val="center"/>
          </w:tcPr>
          <w:p w14:paraId="03F7FA80">
            <w:pPr>
              <w:jc w:val="center"/>
              <w:rPr>
                <w:sz w:val="20"/>
                <w:szCs w:val="20"/>
              </w:rPr>
            </w:pPr>
            <w:r>
              <w:rPr>
                <w:rFonts w:hint="eastAsia" w:ascii="Times New Roman"/>
                <w:color w:val="000000"/>
                <w:sz w:val="21"/>
                <w:szCs w:val="20"/>
              </w:rPr>
              <w:t>国家电网有限公司</w:t>
            </w:r>
          </w:p>
        </w:tc>
        <w:tc>
          <w:tcPr>
            <w:tcW w:w="3313" w:type="dxa"/>
            <w:vAlign w:val="center"/>
          </w:tcPr>
          <w:p w14:paraId="0F763E96">
            <w:pPr>
              <w:jc w:val="center"/>
              <w:rPr>
                <w:sz w:val="20"/>
                <w:szCs w:val="20"/>
                <w:highlight w:val="none"/>
              </w:rPr>
            </w:pPr>
            <w:r>
              <w:rPr>
                <w:rFonts w:hint="eastAsia" w:ascii="Times New Roman"/>
                <w:color w:val="000000"/>
                <w:sz w:val="21"/>
                <w:szCs w:val="20"/>
                <w:highlight w:val="none"/>
              </w:rPr>
              <w:t>国家电网有限公司</w:t>
            </w:r>
          </w:p>
        </w:tc>
      </w:tr>
      <w:tr w14:paraId="62CA9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589ABA06">
            <w:pPr>
              <w:spacing w:before="204" w:line="240" w:lineRule="auto"/>
              <w:ind w:left="277"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pacing w:val="1"/>
                <w:sz w:val="20"/>
                <w:szCs w:val="20"/>
              </w:rPr>
              <w:t>4</w:t>
            </w:r>
          </w:p>
        </w:tc>
        <w:tc>
          <w:tcPr>
            <w:tcW w:w="1249" w:type="dxa"/>
            <w:vAlign w:val="center"/>
          </w:tcPr>
          <w:p w14:paraId="6FBAC2A7">
            <w:pPr>
              <w:jc w:val="center"/>
              <w:rPr>
                <w:sz w:val="20"/>
                <w:szCs w:val="20"/>
              </w:rPr>
            </w:pPr>
            <w:r>
              <w:rPr>
                <w:rFonts w:hint="eastAsia" w:ascii="Times New Roman"/>
                <w:color w:val="000000"/>
                <w:sz w:val="21"/>
                <w:szCs w:val="20"/>
              </w:rPr>
              <w:t>刘勇</w:t>
            </w:r>
          </w:p>
        </w:tc>
        <w:tc>
          <w:tcPr>
            <w:tcW w:w="3310" w:type="dxa"/>
            <w:vAlign w:val="center"/>
          </w:tcPr>
          <w:p w14:paraId="07D9AD29">
            <w:pPr>
              <w:jc w:val="center"/>
              <w:rPr>
                <w:sz w:val="20"/>
                <w:szCs w:val="20"/>
              </w:rPr>
            </w:pPr>
            <w:r>
              <w:rPr>
                <w:rFonts w:hint="eastAsia" w:ascii="Times New Roman"/>
                <w:color w:val="000000"/>
                <w:sz w:val="21"/>
                <w:szCs w:val="20"/>
              </w:rPr>
              <w:t>中国电力科学研究院有限公司</w:t>
            </w:r>
          </w:p>
        </w:tc>
        <w:tc>
          <w:tcPr>
            <w:tcW w:w="3313" w:type="dxa"/>
            <w:vAlign w:val="center"/>
          </w:tcPr>
          <w:p w14:paraId="71130E2B">
            <w:pPr>
              <w:jc w:val="center"/>
              <w:rPr>
                <w:sz w:val="20"/>
                <w:szCs w:val="20"/>
                <w:highlight w:val="none"/>
              </w:rPr>
            </w:pPr>
            <w:r>
              <w:rPr>
                <w:rFonts w:hint="eastAsia" w:ascii="Times New Roman"/>
                <w:color w:val="000000"/>
                <w:sz w:val="21"/>
                <w:szCs w:val="20"/>
                <w:highlight w:val="none"/>
              </w:rPr>
              <w:t>中国电力科学研究院有限公司</w:t>
            </w:r>
          </w:p>
        </w:tc>
      </w:tr>
      <w:tr w14:paraId="19471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14FBAAC1">
            <w:pPr>
              <w:spacing w:before="72" w:line="240" w:lineRule="auto"/>
              <w:ind w:left="284"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z w:val="20"/>
                <w:szCs w:val="20"/>
              </w:rPr>
              <w:t>5</w:t>
            </w:r>
          </w:p>
        </w:tc>
        <w:tc>
          <w:tcPr>
            <w:tcW w:w="1249" w:type="dxa"/>
            <w:vAlign w:val="center"/>
          </w:tcPr>
          <w:p w14:paraId="206547E3">
            <w:pPr>
              <w:jc w:val="center"/>
              <w:rPr>
                <w:sz w:val="20"/>
                <w:szCs w:val="20"/>
              </w:rPr>
            </w:pPr>
            <w:r>
              <w:rPr>
                <w:rFonts w:hint="eastAsia" w:ascii="Times New Roman"/>
                <w:color w:val="000000"/>
                <w:sz w:val="21"/>
                <w:szCs w:val="20"/>
              </w:rPr>
              <w:t>闫博</w:t>
            </w:r>
          </w:p>
        </w:tc>
        <w:tc>
          <w:tcPr>
            <w:tcW w:w="3310" w:type="dxa"/>
            <w:vAlign w:val="center"/>
          </w:tcPr>
          <w:p w14:paraId="0C754ECF">
            <w:pPr>
              <w:jc w:val="center"/>
              <w:rPr>
                <w:sz w:val="20"/>
                <w:szCs w:val="20"/>
              </w:rPr>
            </w:pPr>
            <w:r>
              <w:rPr>
                <w:rFonts w:hint="eastAsia" w:ascii="Times New Roman"/>
                <w:color w:val="000000"/>
                <w:sz w:val="21"/>
                <w:szCs w:val="20"/>
              </w:rPr>
              <w:t>山东泰开互感器有限公司</w:t>
            </w:r>
          </w:p>
        </w:tc>
        <w:tc>
          <w:tcPr>
            <w:tcW w:w="3313" w:type="dxa"/>
            <w:vAlign w:val="center"/>
          </w:tcPr>
          <w:p w14:paraId="07251D94">
            <w:pPr>
              <w:jc w:val="center"/>
              <w:rPr>
                <w:sz w:val="20"/>
                <w:szCs w:val="20"/>
                <w:highlight w:val="none"/>
              </w:rPr>
            </w:pPr>
            <w:r>
              <w:rPr>
                <w:rFonts w:hint="eastAsia" w:ascii="Times New Roman"/>
                <w:color w:val="000000"/>
                <w:sz w:val="21"/>
                <w:szCs w:val="20"/>
                <w:highlight w:val="none"/>
              </w:rPr>
              <w:t>山东泰开互感器有限公司</w:t>
            </w:r>
          </w:p>
        </w:tc>
      </w:tr>
      <w:tr w14:paraId="12EC0F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175E0D29">
            <w:pPr>
              <w:spacing w:before="68" w:line="240" w:lineRule="auto"/>
              <w:ind w:left="282"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z w:val="20"/>
                <w:szCs w:val="20"/>
              </w:rPr>
              <w:t>6</w:t>
            </w:r>
          </w:p>
        </w:tc>
        <w:tc>
          <w:tcPr>
            <w:tcW w:w="1249" w:type="dxa"/>
            <w:vAlign w:val="center"/>
          </w:tcPr>
          <w:p w14:paraId="270C1022">
            <w:pPr>
              <w:jc w:val="center"/>
              <w:rPr>
                <w:sz w:val="20"/>
                <w:szCs w:val="20"/>
              </w:rPr>
            </w:pPr>
            <w:r>
              <w:rPr>
                <w:rFonts w:hint="eastAsia" w:ascii="Times New Roman"/>
                <w:color w:val="000000"/>
                <w:sz w:val="21"/>
                <w:szCs w:val="20"/>
              </w:rPr>
              <w:t>苏本超</w:t>
            </w:r>
          </w:p>
        </w:tc>
        <w:tc>
          <w:tcPr>
            <w:tcW w:w="3310" w:type="dxa"/>
            <w:vAlign w:val="center"/>
          </w:tcPr>
          <w:p w14:paraId="5C957181">
            <w:pPr>
              <w:jc w:val="center"/>
              <w:rPr>
                <w:sz w:val="20"/>
                <w:szCs w:val="20"/>
              </w:rPr>
            </w:pPr>
            <w:r>
              <w:rPr>
                <w:rFonts w:hint="eastAsia" w:ascii="Times New Roman"/>
                <w:color w:val="000000"/>
                <w:sz w:val="21"/>
                <w:szCs w:val="20"/>
              </w:rPr>
              <w:t>山东泰开互感器有限公司</w:t>
            </w:r>
          </w:p>
        </w:tc>
        <w:tc>
          <w:tcPr>
            <w:tcW w:w="3313" w:type="dxa"/>
            <w:vAlign w:val="center"/>
          </w:tcPr>
          <w:p w14:paraId="3AEEEB5B">
            <w:pPr>
              <w:jc w:val="center"/>
              <w:rPr>
                <w:sz w:val="20"/>
                <w:szCs w:val="20"/>
                <w:highlight w:val="none"/>
              </w:rPr>
            </w:pPr>
            <w:r>
              <w:rPr>
                <w:rFonts w:hint="eastAsia" w:ascii="Times New Roman"/>
                <w:color w:val="000000"/>
                <w:sz w:val="21"/>
                <w:szCs w:val="20"/>
                <w:highlight w:val="none"/>
              </w:rPr>
              <w:t>山东泰开互感器有限公司</w:t>
            </w:r>
          </w:p>
        </w:tc>
      </w:tr>
      <w:tr w14:paraId="3B44D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2F21473F">
            <w:pPr>
              <w:spacing w:before="72" w:line="240" w:lineRule="auto"/>
              <w:ind w:left="281"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z w:val="20"/>
                <w:szCs w:val="20"/>
              </w:rPr>
              <w:t>7</w:t>
            </w:r>
          </w:p>
        </w:tc>
        <w:tc>
          <w:tcPr>
            <w:tcW w:w="1249" w:type="dxa"/>
            <w:vAlign w:val="center"/>
          </w:tcPr>
          <w:p w14:paraId="6AB0428B">
            <w:pPr>
              <w:jc w:val="center"/>
              <w:rPr>
                <w:sz w:val="20"/>
                <w:szCs w:val="20"/>
              </w:rPr>
            </w:pPr>
            <w:r>
              <w:rPr>
                <w:rFonts w:hint="eastAsia" w:ascii="Times New Roman"/>
                <w:color w:val="000000"/>
                <w:sz w:val="21"/>
                <w:szCs w:val="20"/>
              </w:rPr>
              <w:t>吴细秀</w:t>
            </w:r>
          </w:p>
        </w:tc>
        <w:tc>
          <w:tcPr>
            <w:tcW w:w="3310" w:type="dxa"/>
            <w:vAlign w:val="center"/>
          </w:tcPr>
          <w:p w14:paraId="086DE9E4">
            <w:pPr>
              <w:jc w:val="center"/>
              <w:rPr>
                <w:sz w:val="20"/>
                <w:szCs w:val="20"/>
              </w:rPr>
            </w:pPr>
            <w:r>
              <w:rPr>
                <w:rFonts w:hint="eastAsia" w:ascii="Times New Roman"/>
                <w:color w:val="000000"/>
                <w:sz w:val="21"/>
                <w:szCs w:val="20"/>
              </w:rPr>
              <w:t>武汉理工大学</w:t>
            </w:r>
          </w:p>
        </w:tc>
        <w:tc>
          <w:tcPr>
            <w:tcW w:w="3313" w:type="dxa"/>
            <w:vAlign w:val="center"/>
          </w:tcPr>
          <w:p w14:paraId="443D1BD1">
            <w:pPr>
              <w:jc w:val="center"/>
              <w:rPr>
                <w:sz w:val="20"/>
                <w:szCs w:val="20"/>
                <w:highlight w:val="none"/>
              </w:rPr>
            </w:pPr>
            <w:r>
              <w:rPr>
                <w:rFonts w:hint="eastAsia" w:ascii="Times New Roman"/>
                <w:color w:val="000000"/>
                <w:sz w:val="21"/>
                <w:szCs w:val="20"/>
                <w:highlight w:val="none"/>
              </w:rPr>
              <w:t>武汉理工大学新能源与电气工程学院</w:t>
            </w:r>
          </w:p>
        </w:tc>
      </w:tr>
      <w:tr w14:paraId="53CF6A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0188FE0F">
            <w:pPr>
              <w:spacing w:before="70" w:line="240" w:lineRule="auto"/>
              <w:ind w:left="286"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z w:val="20"/>
                <w:szCs w:val="20"/>
              </w:rPr>
              <w:t>8</w:t>
            </w:r>
          </w:p>
        </w:tc>
        <w:tc>
          <w:tcPr>
            <w:tcW w:w="1249" w:type="dxa"/>
            <w:vAlign w:val="center"/>
          </w:tcPr>
          <w:p w14:paraId="1764E055">
            <w:pPr>
              <w:jc w:val="center"/>
              <w:rPr>
                <w:sz w:val="20"/>
                <w:szCs w:val="20"/>
              </w:rPr>
            </w:pPr>
            <w:r>
              <w:rPr>
                <w:rFonts w:hint="eastAsia" w:ascii="Times New Roman"/>
                <w:color w:val="000000"/>
                <w:sz w:val="21"/>
                <w:szCs w:val="20"/>
              </w:rPr>
              <w:t>邱宁</w:t>
            </w:r>
          </w:p>
        </w:tc>
        <w:tc>
          <w:tcPr>
            <w:tcW w:w="3310" w:type="dxa"/>
            <w:vAlign w:val="center"/>
          </w:tcPr>
          <w:p w14:paraId="5EBC22F6">
            <w:pPr>
              <w:jc w:val="center"/>
              <w:rPr>
                <w:sz w:val="20"/>
                <w:szCs w:val="20"/>
              </w:rPr>
            </w:pPr>
            <w:r>
              <w:rPr>
                <w:rFonts w:hint="eastAsia" w:ascii="Times New Roman"/>
                <w:color w:val="000000"/>
                <w:sz w:val="21"/>
                <w:szCs w:val="20"/>
              </w:rPr>
              <w:t>国家电网有限公司</w:t>
            </w:r>
          </w:p>
        </w:tc>
        <w:tc>
          <w:tcPr>
            <w:tcW w:w="3313" w:type="dxa"/>
            <w:vAlign w:val="center"/>
          </w:tcPr>
          <w:p w14:paraId="0F1439DC">
            <w:pPr>
              <w:jc w:val="center"/>
              <w:rPr>
                <w:sz w:val="20"/>
                <w:szCs w:val="20"/>
                <w:highlight w:val="none"/>
              </w:rPr>
            </w:pPr>
            <w:r>
              <w:rPr>
                <w:rFonts w:hint="eastAsia" w:ascii="Times New Roman"/>
                <w:color w:val="000000"/>
                <w:sz w:val="21"/>
                <w:szCs w:val="20"/>
                <w:highlight w:val="none"/>
              </w:rPr>
              <w:t>国家电网有限公司</w:t>
            </w:r>
          </w:p>
        </w:tc>
      </w:tr>
      <w:tr w14:paraId="5152EE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25D4AA4A">
            <w:pPr>
              <w:spacing w:before="68" w:line="240" w:lineRule="auto"/>
              <w:ind w:left="282"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z w:val="20"/>
                <w:szCs w:val="20"/>
              </w:rPr>
              <w:t>9</w:t>
            </w:r>
          </w:p>
        </w:tc>
        <w:tc>
          <w:tcPr>
            <w:tcW w:w="1249" w:type="dxa"/>
            <w:vAlign w:val="center"/>
          </w:tcPr>
          <w:p w14:paraId="68FC535A">
            <w:pPr>
              <w:jc w:val="center"/>
              <w:rPr>
                <w:sz w:val="20"/>
                <w:szCs w:val="20"/>
              </w:rPr>
            </w:pPr>
            <w:r>
              <w:rPr>
                <w:rFonts w:hint="eastAsia" w:ascii="Times New Roman"/>
                <w:color w:val="000000"/>
                <w:sz w:val="21"/>
                <w:szCs w:val="20"/>
              </w:rPr>
              <w:t>吴士普</w:t>
            </w:r>
          </w:p>
        </w:tc>
        <w:tc>
          <w:tcPr>
            <w:tcW w:w="3310" w:type="dxa"/>
            <w:vAlign w:val="center"/>
          </w:tcPr>
          <w:p w14:paraId="012303BD">
            <w:pPr>
              <w:jc w:val="center"/>
              <w:rPr>
                <w:sz w:val="20"/>
                <w:szCs w:val="20"/>
              </w:rPr>
            </w:pPr>
            <w:r>
              <w:rPr>
                <w:rFonts w:hint="eastAsia" w:ascii="Times New Roman"/>
                <w:color w:val="000000"/>
                <w:sz w:val="21"/>
                <w:szCs w:val="20"/>
              </w:rPr>
              <w:t>中国电力科学研究院有限公司</w:t>
            </w:r>
          </w:p>
        </w:tc>
        <w:tc>
          <w:tcPr>
            <w:tcW w:w="3313" w:type="dxa"/>
            <w:vAlign w:val="center"/>
          </w:tcPr>
          <w:p w14:paraId="29DA546D">
            <w:pPr>
              <w:jc w:val="center"/>
              <w:rPr>
                <w:sz w:val="20"/>
                <w:szCs w:val="20"/>
                <w:highlight w:val="none"/>
              </w:rPr>
            </w:pPr>
            <w:r>
              <w:rPr>
                <w:rFonts w:hint="eastAsia" w:ascii="Times New Roman"/>
                <w:color w:val="000000"/>
                <w:sz w:val="21"/>
                <w:szCs w:val="20"/>
                <w:highlight w:val="none"/>
              </w:rPr>
              <w:t>中国电力科学研究院有限公司</w:t>
            </w:r>
          </w:p>
        </w:tc>
      </w:tr>
      <w:tr w14:paraId="5A8116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413BC5A8">
            <w:pPr>
              <w:spacing w:before="70" w:line="240" w:lineRule="auto"/>
              <w:ind w:left="248"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pacing w:val="-8"/>
                <w:sz w:val="20"/>
                <w:szCs w:val="20"/>
              </w:rPr>
              <w:t>10</w:t>
            </w:r>
          </w:p>
        </w:tc>
        <w:tc>
          <w:tcPr>
            <w:tcW w:w="1249" w:type="dxa"/>
            <w:vAlign w:val="center"/>
          </w:tcPr>
          <w:p w14:paraId="57B2E54E">
            <w:pPr>
              <w:jc w:val="center"/>
              <w:rPr>
                <w:sz w:val="20"/>
                <w:szCs w:val="20"/>
              </w:rPr>
            </w:pPr>
            <w:r>
              <w:rPr>
                <w:rFonts w:hint="eastAsia" w:ascii="Times New Roman"/>
                <w:color w:val="000000"/>
                <w:sz w:val="21"/>
                <w:szCs w:val="20"/>
              </w:rPr>
              <w:t>顾安娜</w:t>
            </w:r>
          </w:p>
        </w:tc>
        <w:tc>
          <w:tcPr>
            <w:tcW w:w="3310" w:type="dxa"/>
            <w:vAlign w:val="center"/>
          </w:tcPr>
          <w:p w14:paraId="34BBD2E9">
            <w:pPr>
              <w:jc w:val="center"/>
              <w:rPr>
                <w:sz w:val="20"/>
                <w:szCs w:val="20"/>
              </w:rPr>
            </w:pPr>
            <w:r>
              <w:rPr>
                <w:rFonts w:hint="eastAsia" w:ascii="Times New Roman"/>
                <w:color w:val="000000"/>
                <w:sz w:val="21"/>
                <w:szCs w:val="20"/>
              </w:rPr>
              <w:t>山东泰开互感器有限公司</w:t>
            </w:r>
          </w:p>
        </w:tc>
        <w:tc>
          <w:tcPr>
            <w:tcW w:w="3313" w:type="dxa"/>
            <w:vAlign w:val="center"/>
          </w:tcPr>
          <w:p w14:paraId="0975FBA7">
            <w:pPr>
              <w:jc w:val="center"/>
              <w:rPr>
                <w:sz w:val="20"/>
                <w:szCs w:val="20"/>
                <w:highlight w:val="none"/>
              </w:rPr>
            </w:pPr>
            <w:r>
              <w:rPr>
                <w:rFonts w:hint="eastAsia" w:ascii="Times New Roman"/>
                <w:color w:val="000000"/>
                <w:sz w:val="21"/>
                <w:szCs w:val="20"/>
              </w:rPr>
              <w:t>山东泰开互感器有限公司</w:t>
            </w:r>
          </w:p>
        </w:tc>
      </w:tr>
      <w:tr w14:paraId="5F987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8532" w:type="dxa"/>
            <w:gridSpan w:val="4"/>
            <w:vAlign w:val="top"/>
          </w:tcPr>
          <w:p w14:paraId="10B9FBC9">
            <w:pPr>
              <w:pStyle w:val="9"/>
              <w:spacing w:before="146" w:line="240" w:lineRule="auto"/>
              <w:ind w:left="3643"/>
              <w:rPr>
                <w:sz w:val="20"/>
                <w:szCs w:val="20"/>
              </w:rPr>
            </w:pPr>
            <w:r>
              <w:rPr>
                <w:spacing w:val="7"/>
                <w:sz w:val="20"/>
                <w:szCs w:val="20"/>
              </w:rPr>
              <w:t>主要完成单位</w:t>
            </w:r>
          </w:p>
        </w:tc>
      </w:tr>
      <w:tr w14:paraId="15E865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7AC70278">
            <w:pPr>
              <w:pStyle w:val="9"/>
              <w:spacing w:before="35" w:line="240" w:lineRule="auto"/>
              <w:ind w:left="126"/>
              <w:rPr>
                <w:sz w:val="20"/>
                <w:szCs w:val="20"/>
              </w:rPr>
            </w:pPr>
            <w:r>
              <w:rPr>
                <w:spacing w:val="4"/>
                <w:sz w:val="20"/>
                <w:szCs w:val="20"/>
              </w:rPr>
              <w:t>排名</w:t>
            </w:r>
          </w:p>
        </w:tc>
        <w:tc>
          <w:tcPr>
            <w:tcW w:w="7872" w:type="dxa"/>
            <w:gridSpan w:val="3"/>
            <w:vAlign w:val="top"/>
          </w:tcPr>
          <w:p w14:paraId="48B7D098">
            <w:pPr>
              <w:pStyle w:val="9"/>
              <w:spacing w:before="35" w:line="240" w:lineRule="auto"/>
              <w:ind w:left="3521"/>
              <w:rPr>
                <w:sz w:val="20"/>
                <w:szCs w:val="20"/>
              </w:rPr>
            </w:pPr>
            <w:r>
              <w:rPr>
                <w:spacing w:val="6"/>
                <w:sz w:val="20"/>
                <w:szCs w:val="20"/>
              </w:rPr>
              <w:t>单位名称</w:t>
            </w:r>
          </w:p>
        </w:tc>
      </w:tr>
      <w:tr w14:paraId="35F5B8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14:paraId="32FED463">
            <w:pPr>
              <w:spacing w:before="70" w:line="240" w:lineRule="auto"/>
              <w:ind w:left="298" w:leftChars="0"/>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7872" w:type="dxa"/>
            <w:gridSpan w:val="3"/>
            <w:vAlign w:val="top"/>
          </w:tcPr>
          <w:p w14:paraId="77CF4984">
            <w:pPr>
              <w:pStyle w:val="9"/>
              <w:spacing w:before="35" w:line="240" w:lineRule="auto"/>
              <w:ind w:left="2909" w:leftChars="0"/>
              <w:rPr>
                <w:sz w:val="20"/>
                <w:szCs w:val="20"/>
              </w:rPr>
            </w:pPr>
            <w:r>
              <w:rPr>
                <w:rFonts w:hint="eastAsia" w:ascii="Times New Roman" w:hAnsi="Arial" w:eastAsia="Arial" w:cs="Arial"/>
                <w:snapToGrid w:val="0"/>
                <w:color w:val="000000"/>
                <w:kern w:val="0"/>
                <w:sz w:val="21"/>
                <w:szCs w:val="20"/>
                <w:lang w:val="en-US" w:eastAsia="zh" w:bidi="ar-SA"/>
              </w:rPr>
              <w:t>山东泰开互感器有限公司</w:t>
            </w:r>
          </w:p>
        </w:tc>
      </w:tr>
      <w:tr w14:paraId="5BC1F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4E4B2617">
            <w:pPr>
              <w:spacing w:before="88" w:line="240" w:lineRule="auto"/>
              <w:ind w:left="278" w:leftChars="0"/>
              <w:rPr>
                <w:rFonts w:hint="default" w:ascii="Times New Roman" w:hAnsi="Times New Roman" w:eastAsia="宋体" w:cs="Times New Roman"/>
                <w:sz w:val="20"/>
                <w:szCs w:val="20"/>
                <w:lang w:val="en-US" w:eastAsia="zh-CN"/>
              </w:rPr>
            </w:pPr>
            <w:r>
              <w:rPr>
                <w:rFonts w:ascii="Times New Roman" w:hAnsi="Times New Roman" w:eastAsia="Times New Roman" w:cs="Times New Roman"/>
                <w:sz w:val="20"/>
                <w:szCs w:val="20"/>
              </w:rPr>
              <w:t>2</w:t>
            </w:r>
          </w:p>
        </w:tc>
        <w:tc>
          <w:tcPr>
            <w:tcW w:w="7872" w:type="dxa"/>
            <w:gridSpan w:val="3"/>
            <w:vAlign w:val="top"/>
          </w:tcPr>
          <w:p w14:paraId="6E8B0AD1">
            <w:pPr>
              <w:pStyle w:val="9"/>
              <w:spacing w:before="35" w:line="240" w:lineRule="auto"/>
              <w:ind w:left="2909" w:leftChars="0"/>
              <w:rPr>
                <w:sz w:val="20"/>
                <w:szCs w:val="20"/>
              </w:rPr>
            </w:pPr>
            <w:r>
              <w:rPr>
                <w:rFonts w:hint="eastAsia" w:ascii="Times New Roman" w:hAnsi="Arial" w:eastAsia="Arial" w:cs="Arial"/>
                <w:snapToGrid w:val="0"/>
                <w:color w:val="000000"/>
                <w:kern w:val="0"/>
                <w:sz w:val="21"/>
                <w:szCs w:val="20"/>
                <w:lang w:val="en-US" w:eastAsia="zh-CN" w:bidi="ar-SA"/>
              </w:rPr>
              <w:t>中国电力科学研究院有限公司</w:t>
            </w:r>
          </w:p>
        </w:tc>
      </w:tr>
      <w:tr w14:paraId="4CE47C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2E35EBBF">
            <w:pPr>
              <w:spacing w:before="87" w:line="240" w:lineRule="auto"/>
              <w:ind w:left="282"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z w:val="20"/>
                <w:szCs w:val="20"/>
              </w:rPr>
              <w:t>3</w:t>
            </w:r>
          </w:p>
        </w:tc>
        <w:tc>
          <w:tcPr>
            <w:tcW w:w="7872" w:type="dxa"/>
            <w:gridSpan w:val="3"/>
            <w:vAlign w:val="top"/>
          </w:tcPr>
          <w:p w14:paraId="45B8FB28">
            <w:pPr>
              <w:pStyle w:val="9"/>
              <w:spacing w:before="35" w:line="240" w:lineRule="auto"/>
              <w:ind w:left="2909" w:leftChars="0"/>
              <w:rPr>
                <w:sz w:val="20"/>
                <w:szCs w:val="20"/>
              </w:rPr>
            </w:pPr>
            <w:r>
              <w:rPr>
                <w:rFonts w:hint="eastAsia" w:ascii="Times New Roman" w:hAnsi="Arial" w:eastAsia="Arial" w:cs="Arial"/>
                <w:snapToGrid w:val="0"/>
                <w:color w:val="000000"/>
                <w:kern w:val="0"/>
                <w:sz w:val="21"/>
                <w:szCs w:val="20"/>
                <w:lang w:val="en-US" w:eastAsia="zh" w:bidi="ar-SA"/>
              </w:rPr>
              <w:t>国家电网有限公司</w:t>
            </w:r>
          </w:p>
        </w:tc>
      </w:tr>
      <w:tr w14:paraId="1C95A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7474E378">
            <w:pPr>
              <w:spacing w:before="89" w:line="240" w:lineRule="auto"/>
              <w:ind w:left="277"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pacing w:val="1"/>
                <w:sz w:val="20"/>
                <w:szCs w:val="20"/>
              </w:rPr>
              <w:t>4</w:t>
            </w:r>
          </w:p>
        </w:tc>
        <w:tc>
          <w:tcPr>
            <w:tcW w:w="7872" w:type="dxa"/>
            <w:gridSpan w:val="3"/>
            <w:vAlign w:val="top"/>
          </w:tcPr>
          <w:p w14:paraId="47B1ACB0">
            <w:pPr>
              <w:pStyle w:val="9"/>
              <w:spacing w:before="35" w:line="240" w:lineRule="auto"/>
              <w:ind w:left="2909" w:leftChars="0"/>
              <w:rPr>
                <w:sz w:val="20"/>
                <w:szCs w:val="20"/>
              </w:rPr>
            </w:pPr>
            <w:r>
              <w:rPr>
                <w:rFonts w:hint="eastAsia" w:ascii="Times New Roman" w:hAnsi="Arial" w:eastAsia="Arial" w:cs="Arial"/>
                <w:snapToGrid w:val="0"/>
                <w:color w:val="000000"/>
                <w:kern w:val="0"/>
                <w:sz w:val="21"/>
                <w:szCs w:val="20"/>
                <w:lang w:val="en-US" w:eastAsia="zh" w:bidi="ar-SA"/>
              </w:rPr>
              <w:t>武汉理工大学</w:t>
            </w:r>
          </w:p>
        </w:tc>
      </w:tr>
      <w:tr w14:paraId="27DCEA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0420DF90">
            <w:pPr>
              <w:spacing w:before="91" w:line="240" w:lineRule="auto"/>
              <w:ind w:left="284"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z w:val="20"/>
                <w:szCs w:val="20"/>
              </w:rPr>
              <w:t>5</w:t>
            </w:r>
          </w:p>
        </w:tc>
        <w:tc>
          <w:tcPr>
            <w:tcW w:w="7872" w:type="dxa"/>
            <w:gridSpan w:val="3"/>
            <w:vAlign w:val="top"/>
          </w:tcPr>
          <w:p w14:paraId="2D10C7C9">
            <w:pPr>
              <w:pStyle w:val="9"/>
              <w:spacing w:before="35" w:line="240" w:lineRule="auto"/>
              <w:ind w:left="2909" w:leftChars="0"/>
              <w:rPr>
                <w:sz w:val="20"/>
                <w:szCs w:val="20"/>
              </w:rPr>
            </w:pPr>
            <w:r>
              <w:rPr>
                <w:rFonts w:hint="eastAsia" w:ascii="Times New Roman" w:hAnsi="Arial" w:eastAsia="Arial" w:cs="Arial"/>
                <w:snapToGrid w:val="0"/>
                <w:color w:val="000000"/>
                <w:kern w:val="0"/>
                <w:sz w:val="21"/>
                <w:szCs w:val="20"/>
                <w:lang w:val="en-US" w:eastAsia="zh" w:bidi="ar-SA"/>
              </w:rPr>
              <w:t>山东省科学院激光研究所</w:t>
            </w:r>
          </w:p>
        </w:tc>
      </w:tr>
      <w:tr w14:paraId="1C0801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276984F6">
            <w:pPr>
              <w:spacing w:before="89" w:line="240" w:lineRule="auto"/>
              <w:ind w:left="282" w:leftChars="0"/>
              <w:rPr>
                <w:rFonts w:hint="eastAsia" w:ascii="Times New Roman" w:hAnsi="Times New Roman" w:eastAsia="宋体" w:cs="Times New Roman"/>
                <w:sz w:val="20"/>
                <w:szCs w:val="20"/>
                <w:lang w:val="en-US" w:eastAsia="zh-CN"/>
              </w:rPr>
            </w:pPr>
            <w:r>
              <w:rPr>
                <w:rFonts w:ascii="Times New Roman" w:hAnsi="Times New Roman" w:eastAsia="Times New Roman" w:cs="Times New Roman"/>
                <w:sz w:val="20"/>
                <w:szCs w:val="20"/>
              </w:rPr>
              <w:t>6</w:t>
            </w:r>
          </w:p>
        </w:tc>
        <w:tc>
          <w:tcPr>
            <w:tcW w:w="7872" w:type="dxa"/>
            <w:gridSpan w:val="3"/>
            <w:vAlign w:val="top"/>
          </w:tcPr>
          <w:p w14:paraId="53714136">
            <w:pPr>
              <w:pStyle w:val="9"/>
              <w:spacing w:before="35" w:line="240" w:lineRule="auto"/>
              <w:ind w:left="2909" w:leftChars="0"/>
              <w:rPr>
                <w:sz w:val="20"/>
                <w:szCs w:val="20"/>
              </w:rPr>
            </w:pPr>
            <w:r>
              <w:rPr>
                <w:rFonts w:hint="eastAsia" w:ascii="Times New Roman" w:hAnsi="Arial" w:eastAsia="Arial" w:cs="Arial"/>
                <w:snapToGrid w:val="0"/>
                <w:color w:val="000000"/>
                <w:kern w:val="0"/>
                <w:sz w:val="21"/>
                <w:szCs w:val="20"/>
                <w:lang w:val="en-US" w:eastAsia="zh" w:bidi="ar-SA"/>
              </w:rPr>
              <w:t>山东</w:t>
            </w:r>
            <w:r>
              <w:rPr>
                <w:rFonts w:hint="eastAsia" w:ascii="Times New Roman" w:hAnsi="Arial" w:eastAsia="Arial" w:cs="Arial"/>
                <w:snapToGrid w:val="0"/>
                <w:color w:val="000000"/>
                <w:kern w:val="0"/>
                <w:sz w:val="21"/>
                <w:szCs w:val="20"/>
                <w:lang w:val="en-US" w:eastAsia="zh-CN" w:bidi="ar-SA"/>
              </w:rPr>
              <w:t>泰开检测有限公司</w:t>
            </w:r>
          </w:p>
        </w:tc>
      </w:tr>
    </w:tbl>
    <w:p w14:paraId="1BA5DEAB">
      <w:pPr>
        <w:spacing w:line="240" w:lineRule="auto"/>
        <w:rPr>
          <w:rFonts w:ascii="Arial"/>
          <w:sz w:val="21"/>
        </w:rPr>
      </w:pPr>
    </w:p>
    <w:sectPr>
      <w:footerReference r:id="rId5" w:type="default"/>
      <w:pgSz w:w="11906" w:h="16839"/>
      <w:pgMar w:top="1174" w:right="1684" w:bottom="1157" w:left="1684" w:header="0" w:footer="79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483C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3B20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73B20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59B24B4"/>
    <w:rsid w:val="0CCB047F"/>
    <w:rsid w:val="10973B61"/>
    <w:rsid w:val="12B40728"/>
    <w:rsid w:val="160C3C6F"/>
    <w:rsid w:val="194A5C14"/>
    <w:rsid w:val="1B926E6E"/>
    <w:rsid w:val="1BD528D3"/>
    <w:rsid w:val="21C84A65"/>
    <w:rsid w:val="23C6058D"/>
    <w:rsid w:val="284B2378"/>
    <w:rsid w:val="28F95E48"/>
    <w:rsid w:val="2ECB6A58"/>
    <w:rsid w:val="340A6274"/>
    <w:rsid w:val="381902C4"/>
    <w:rsid w:val="3A2B48E8"/>
    <w:rsid w:val="3BE04BEB"/>
    <w:rsid w:val="40BD70EE"/>
    <w:rsid w:val="43A7763B"/>
    <w:rsid w:val="47C14A44"/>
    <w:rsid w:val="49033566"/>
    <w:rsid w:val="4C7D71E6"/>
    <w:rsid w:val="4C9A54C2"/>
    <w:rsid w:val="53BF59F0"/>
    <w:rsid w:val="56135281"/>
    <w:rsid w:val="61F03972"/>
    <w:rsid w:val="70904746"/>
    <w:rsid w:val="78D06865"/>
    <w:rsid w:val="7A654FB6"/>
    <w:rsid w:val="7CA979E5"/>
    <w:rsid w:val="7EAE3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78c0a2d4-4eec-469a-86aa-b71e57eaae81</errorID>
      <errorWord>风流人流</errorWord>
      <group>L1_Knowledge</group>
      <groupName>知识性问题</groupName>
      <ability>L2_Knowledge</ability>
      <abilityName>其他知识</abilityName>
      <candidateList>
        <item>风流人物</item>
      </candidateList>
      <explain/>
      <paraID>7B7360DA</paraID>
      <start>76</start>
      <end>80</end>
      <status>unmodified</status>
      <modifiedWord/>
      <trackRevisions>false</trackRevisions>
    </reviewItem>
    <reviewItem>
      <errorID>ef8dedac-bf17-40d9-98cb-d634a8141982</errorID>
      <errorWord>业</errorWord>
      <group>L1_Word</group>
      <groupName>字词问题</groupName>
      <ability>L2_Typo</ability>
      <abilityName>字词错误</abilityName>
      <candidateList>
        <item>业在</item>
      </candidateList>
      <explain/>
      <paraID>7B7360DA</paraID>
      <start>185</start>
      <end>186</end>
      <status>unmodified</status>
      <modifiedWord/>
      <trackRevisions>false</trackRevisions>
    </reviewItem>
    <reviewItem>
      <errorID>c996030c-8114-41b6-a4ab-36416c99be6f</errorID>
      <errorWord>国家发改委</errorWord>
      <group>L1_Knowledge</group>
      <groupName>知识性问题</groupName>
      <ability>L2_Knowledge</ability>
      <abilityName>其他知识</abilityName>
      <candidateList>
        <item>国家发展改革委</item>
      </candidateList>
      <explain/>
      <paraID> C410069</paraID>
      <start>7</start>
      <end>12</end>
      <status>unmodified</status>
      <modifiedWord/>
      <trackRevisions>false</trackRevisions>
    </reviewItem>
    <reviewItem>
      <errorID>523df4b4-54c7-4b0c-b147-b171aaedabee</errorID>
      <errorWord>亟需</errorWord>
      <group>L1_Word</group>
      <groupName>字词问题</groupName>
      <ability>L2_Typo</ability>
      <abilityName>字词错误</abilityName>
      <candidateList>
        <item>亟须</item>
      </candidateList>
      <explain/>
      <paraID>101D9B2B</paraID>
      <start>31</start>
      <end>33</end>
      <status>unmodified</status>
      <modifiedWord/>
      <trackRevisions>false</trackRevisions>
    </reviewItem>
    <reviewItem>
      <errorID>35efa540-62d9-487d-9f20-f3a37ccb8fb1</errorID>
      <errorWord>风流人流</errorWord>
      <group>L1_Knowledge</group>
      <groupName>知识性问题</groupName>
      <ability>L2_Knowledge</ability>
      <abilityName>其他知识</abilityName>
      <candidateList>
        <item>风流人物</item>
      </candidateList>
      <explain/>
      <paraID>101D9B2B</paraID>
      <start>123</start>
      <end>127</end>
      <status>unmodified</status>
      <modifiedWord/>
      <trackRevisions>false</trackRevisions>
    </reviewItem>
    <reviewItem>
      <errorID>a72e9f46-549e-4b82-9611-2db6cc21e44d</errorID>
      <errorWord>风流人流</errorWord>
      <group>L1_Knowledge</group>
      <groupName>知识性问题</groupName>
      <ability>L2_Knowledge</ability>
      <abilityName>其他知识</abilityName>
      <candidateList>
        <item>风流人物</item>
      </candidateList>
      <explain/>
      <paraID>  FA16C8</paraID>
      <start>14</start>
      <end>18</end>
      <status>unmodified</status>
      <modifiedWord/>
      <trackRevisions>false</trackRevisions>
    </reviewItem>
    <reviewItem>
      <errorID>9098a82b-f942-42af-a60d-30583c6c3507</errorID>
      <errorWord>风流人流</errorWord>
      <group>L1_Knowledge</group>
      <groupName>知识性问题</groupName>
      <ability>L2_Knowledge</ability>
      <abilityName>其他知识</abilityName>
      <candidateList>
        <item>风流人物</item>
      </candidateList>
      <explain/>
      <paraID>727D0E6E</paraID>
      <start>8</start>
      <end>12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87e12-db15-472b-b7b6-271ff6d3f3fa}">
  <ds:schemaRefs/>
</ds:datastoreItem>
</file>

<file path=docProps/app.xml><?xml version="1.0" encoding="utf-8"?>
<Properties xmlns="http://schemas.openxmlformats.org/officeDocument/2006/extended-properties" xmlns:vt="http://schemas.openxmlformats.org/officeDocument/2006/docPropsVTypes">
  <Pages>4</Pages>
  <Words>2009</Words>
  <Characters>2275</Characters>
  <TotalTime>0</TotalTime>
  <ScaleCrop>false</ScaleCrop>
  <LinksUpToDate>false</LinksUpToDate>
  <CharactersWithSpaces>2286</CharactersWithSpaces>
  <Application>WPS Office_12.1.0.22215_F1E327BC-269C-435d-A152-05C5408002CA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2025-04-01T11:14:00Z</dcterms:created>
  <dc:creator>LIUFANGFANG</dc:creator>
  <cp:lastModifiedBy>遨游八极</cp:lastModifiedBy>
  <dcterms:modified xsi:type="dcterms:W3CDTF">2026-07-20T00:33:21Z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2026-07-16T15:08:53Z</vt:filetime>
  </property>
  <property fmtid="{D5CDD505-2E9C-101B-9397-08002B2CF9AE}" pid="4" name="KSOTemplateDocerSaveRecord">
    <vt:lpwstr>eyJoZGlkIjoiODFkZmUxZDY4NGNjNDg5Yjk5ZWJlMDA3MDYwMDRhYWYiLCJ1c2VySWQiOiIzMTM2NDQzMTgifQ==</vt:lpwstr>
  </property>
  <property fmtid="{D5CDD505-2E9C-101B-9397-08002B2CF9AE}" pid="5" name="KSOProductBuildVer">
    <vt:lpwstr>2052-12.1.0.22215</vt:lpwstr>
  </property>
  <property fmtid="{D5CDD505-2E9C-101B-9397-08002B2CF9AE}" pid="6" name="ICV">
    <vt:lpwstr>65A2AA7E137D4D518A1FC5330DCC12D0_13</vt:lpwstr>
  </property>
</Properties>
</file>