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6B06C">
      <w:pPr>
        <w:spacing w:before="87" w:line="240" w:lineRule="auto"/>
        <w:ind w:left="1112"/>
        <w:outlineLvl w:val="0"/>
        <w:rPr>
          <w:rFonts w:ascii="宋体" w:hAnsi="宋体" w:eastAsia="宋体" w:cs="宋体"/>
          <w:sz w:val="43"/>
          <w:szCs w:val="43"/>
        </w:rPr>
      </w:pPr>
      <w:r>
        <w:rPr>
          <w:rFonts w:ascii="宋体" w:hAnsi="宋体" w:eastAsia="宋体" w:cs="宋体"/>
          <w:b/>
          <w:bCs/>
          <w:spacing w:val="3"/>
          <w:sz w:val="43"/>
          <w:szCs w:val="43"/>
        </w:rPr>
        <w:t>山东省科学技术进步奖提名公示</w:t>
      </w:r>
    </w:p>
    <w:p w14:paraId="0DF01CA5">
      <w:pPr>
        <w:spacing w:line="240" w:lineRule="auto"/>
        <w:rPr>
          <w:rFonts w:ascii="Arial"/>
          <w:sz w:val="21"/>
        </w:rPr>
      </w:pPr>
    </w:p>
    <w:p w14:paraId="6A35C8CF">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一、项目名称</w:t>
      </w:r>
    </w:p>
    <w:p w14:paraId="59CC1408">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仿宋_GB2312" w:hAnsi="Times New Roman" w:eastAsia="仿宋_GB2312" w:cs="Times New Roman"/>
          <w:sz w:val="28"/>
          <w:szCs w:val="28"/>
        </w:rPr>
      </w:pPr>
      <w:bookmarkStart w:id="0" w:name="_Hlk483560568"/>
      <w:r>
        <w:rPr>
          <w:rFonts w:hint="eastAsia" w:ascii="仿宋_GB2312" w:hAnsi="Times New Roman" w:eastAsia="仿宋_GB2312" w:cs="Times New Roman"/>
          <w:sz w:val="28"/>
          <w:szCs w:val="28"/>
        </w:rPr>
        <w:t>高压</w:t>
      </w:r>
      <w:r>
        <w:rPr>
          <w:rFonts w:hint="eastAsia" w:ascii="仿宋_GB2312" w:hAnsi="Times New Roman" w:eastAsia="仿宋_GB2312" w:cs="Times New Roman"/>
          <w:sz w:val="28"/>
          <w:szCs w:val="28"/>
          <w:lang w:val="en-US" w:eastAsia="zh-CN"/>
        </w:rPr>
        <w:t>/特高压</w:t>
      </w:r>
      <w:r>
        <w:rPr>
          <w:rFonts w:hint="eastAsia" w:ascii="仿宋_GB2312" w:hAnsi="Times New Roman" w:eastAsia="仿宋_GB2312" w:cs="Times New Roman"/>
          <w:sz w:val="28"/>
          <w:szCs w:val="28"/>
        </w:rPr>
        <w:t>开关壳体高质量焊接制造关键技术及装备</w:t>
      </w:r>
    </w:p>
    <w:bookmarkEnd w:id="0"/>
    <w:p w14:paraId="1B6855F5">
      <w:pPr>
        <w:keepNext w:val="0"/>
        <w:keepLines w:val="0"/>
        <w:pageBreakBefore w:val="0"/>
        <w:widowControl/>
        <w:kinsoku w:val="0"/>
        <w:wordWrap/>
        <w:overflowPunct/>
        <w:topLinePunct w:val="0"/>
        <w:autoSpaceDE w:val="0"/>
        <w:autoSpaceDN w:val="0"/>
        <w:bidi w:val="0"/>
        <w:adjustRightInd w:val="0"/>
        <w:snapToGrid w:val="0"/>
        <w:spacing w:line="440" w:lineRule="exact"/>
        <w:ind w:left="669"/>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14:paraId="7C3762D7">
      <w:pPr>
        <w:pStyle w:val="2"/>
        <w:keepNext w:val="0"/>
        <w:keepLines w:val="0"/>
        <w:pageBreakBefore w:val="0"/>
        <w:widowControl/>
        <w:kinsoku w:val="0"/>
        <w:wordWrap/>
        <w:overflowPunct/>
        <w:topLinePunct w:val="0"/>
        <w:autoSpaceDE w:val="0"/>
        <w:autoSpaceDN w:val="0"/>
        <w:bidi w:val="0"/>
        <w:adjustRightInd w:val="0"/>
        <w:snapToGrid w:val="0"/>
        <w:spacing w:before="184" w:line="240" w:lineRule="auto"/>
        <w:ind w:left="658"/>
        <w:textAlignment w:val="baseline"/>
        <w:rPr>
          <w:sz w:val="32"/>
          <w:szCs w:val="32"/>
        </w:rPr>
      </w:pPr>
      <w:r>
        <w:rPr>
          <w:b/>
          <w:bCs/>
          <w:spacing w:val="8"/>
          <w:sz w:val="32"/>
          <w:szCs w:val="32"/>
        </w:rPr>
        <w:t>提名者：</w:t>
      </w:r>
      <w:r>
        <w:rPr>
          <w:spacing w:val="8"/>
          <w:sz w:val="28"/>
          <w:szCs w:val="28"/>
        </w:rPr>
        <w:t>泰安市科学技术局</w:t>
      </w:r>
    </w:p>
    <w:p w14:paraId="75CB983C">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658"/>
        <w:textAlignment w:val="baseline"/>
        <w:rPr>
          <w:sz w:val="32"/>
          <w:szCs w:val="32"/>
        </w:rPr>
      </w:pPr>
      <w:r>
        <w:rPr>
          <w:b/>
          <w:bCs/>
          <w:spacing w:val="3"/>
          <w:sz w:val="32"/>
          <w:szCs w:val="32"/>
        </w:rPr>
        <w:t>提名意见：</w:t>
      </w:r>
    </w:p>
    <w:p w14:paraId="79358A3A">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气体绝缘金属封闭开关设备（GIS）是特高压枢纽变电站的核心节点，焊接是保证其长期气密性与承压可靠性的唯一工程手段。随着特高压产品规格上移，壳体尺寸与壁厚增加，传统焊接工艺一次合格率低、修配工时占比高，已成为制约工程高质量发展的瓶颈。该项目由山东泰开高压开关有限公司牵头，联合北京工业大学、山东省科学院激光研究所、东南大学、南京理工大学在国家自然科学基金联合基金、山东省重大科技创新工程等支持下，历经十余年攻关，创建了铝合金高深径比小孔熔池双驻点绕流与缺陷演化模型，发明了混联弧焊电源及气电联合脉冲等离子弧焊接-双面重熔复合方法，实现了8-20mm铝合金对接焊缝一次成形；发明了螺线管连续螺旋焊缝随焊预置弹性变形方法，突破了多热源时空相位匹配与激光随焊冲击调质技术，研制出多电弧协同柔性生产线；创建了焊缝形貌与热质力输入的质量关联模型，突破了马鞍形焊缝免示教定位与路径自适应规划；提出全流程质量协同管控方法，开发测装焊检协同作业软件系统。形成了GIS壳体多工艺集成焊接制造体系。</w:t>
      </w:r>
    </w:p>
    <w:p w14:paraId="70D8F9B2">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项目授权发明专利45项、软件著作权6项、标准8项。经姚建铨院士、毛明院士领衔鉴定，整体技术国际先进，厚壁等离子弧穿孔焊工艺装备及数据驱动质量预测技术居国际领先；王军成院士领衔鉴定认为在高压开关制造领域整体国际领先。成果在泰开全面投产，近三年新增销售额114亿元；应用于陇东-山东特高压直流、昆柳龙直流、藏中联网等重点工程，并出口俄罗斯；核心技术外溢至航天领域，应用于空间站、长征七号火箭等型号。焊接效率提升2倍，壳体漏气率由0.96%降至0.1%。</w:t>
      </w:r>
    </w:p>
    <w:p w14:paraId="7B8B663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该项目技术难度大、创新性强、应用效益显著，对推动高端输变电装备制造技术进步和产业升级意义重大。本单位已完成公示并征求专家意见，确认候选人无不得提名情形，材料真实有效。提名该项目为2026年度山东省科学技术进步奖一等奖。</w:t>
      </w:r>
    </w:p>
    <w:p w14:paraId="28DB6A63">
      <w:pPr>
        <w:keepNext w:val="0"/>
        <w:keepLines w:val="0"/>
        <w:pageBreakBefore w:val="0"/>
        <w:widowControl/>
        <w:kinsoku w:val="0"/>
        <w:wordWrap/>
        <w:overflowPunct/>
        <w:topLinePunct w:val="0"/>
        <w:autoSpaceDE w:val="0"/>
        <w:autoSpaceDN w:val="0"/>
        <w:bidi w:val="0"/>
        <w:adjustRightInd w:val="0"/>
        <w:snapToGrid w:val="0"/>
        <w:spacing w:line="440" w:lineRule="exact"/>
        <w:ind w:left="669"/>
        <w:textAlignment w:val="baseline"/>
        <w:outlineLvl w:val="1"/>
        <w:rPr>
          <w:rFonts w:ascii="黑体" w:hAnsi="黑体" w:eastAsia="黑体" w:cs="黑体"/>
          <w:spacing w:val="8"/>
          <w:sz w:val="32"/>
          <w:szCs w:val="32"/>
        </w:rPr>
      </w:pPr>
      <w:r>
        <w:rPr>
          <w:rFonts w:ascii="黑体" w:hAnsi="黑体" w:eastAsia="黑体" w:cs="黑体"/>
          <w:spacing w:val="8"/>
          <w:sz w:val="32"/>
          <w:szCs w:val="32"/>
        </w:rPr>
        <w:t>三、提名等级</w:t>
      </w:r>
    </w:p>
    <w:p w14:paraId="3FA35A6D">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703"/>
        <w:textAlignment w:val="baseline"/>
        <w:rPr>
          <w:sz w:val="28"/>
          <w:szCs w:val="28"/>
        </w:rPr>
      </w:pPr>
      <w:r>
        <w:rPr>
          <w:spacing w:val="5"/>
          <w:sz w:val="28"/>
          <w:szCs w:val="28"/>
        </w:rPr>
        <w:t>山东省科学技术进步奖</w:t>
      </w:r>
      <w:r>
        <w:rPr>
          <w:rFonts w:hint="eastAsia"/>
          <w:spacing w:val="5"/>
          <w:sz w:val="28"/>
          <w:szCs w:val="28"/>
          <w:lang w:val="en-US" w:eastAsia="zh-CN"/>
        </w:rPr>
        <w:t xml:space="preserve"> 一 </w:t>
      </w:r>
      <w:r>
        <w:rPr>
          <w:spacing w:val="5"/>
          <w:sz w:val="28"/>
          <w:szCs w:val="28"/>
        </w:rPr>
        <w:t>等奖</w:t>
      </w:r>
    </w:p>
    <w:p w14:paraId="72CED77D">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14:paraId="06063A8F">
      <w:pPr>
        <w:pStyle w:val="3"/>
        <w:spacing w:line="360" w:lineRule="exact"/>
        <w:ind w:left="108"/>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十五五”将电力输送通道列为构建现代化基础设施体系与新型能源体系建设的重大工程，特高压输电通道作为“西电东送”骨干网络正加速向更大容量、更高可靠性方向扩容。山东以泰开集团为龙头，系统培育高端能源装备支柱产业，持续推动输变电装备产业链延伸与升级。气体绝缘金属封闭开关设备（GIS）以全封闭SF绝缘实现高压导体与环境的可靠隔离，是特高压枢纽变电站的核心节点；其铝合金壳体由筒体、封头、法兰、分支接口等构件拼焊而成，典型焊缝构型涵盖厚壁筒体多层多道焊、螺线管连续螺旋焊和法兰插管马鞍形焊缝三类，共同构成承压密封气室。焊接是实现GIS壳体长期气密性与承压可靠性的唯一工程手段，然而</w:t>
      </w:r>
      <w:r>
        <w:rPr>
          <w:rFonts w:hint="eastAsia" w:hAnsi="Times New Roman" w:eastAsia="仿宋_GB2312" w:cs="Times New Roman"/>
          <w:kern w:val="2"/>
          <w:sz w:val="28"/>
          <w:szCs w:val="28"/>
          <w:lang w:val="en-US" w:eastAsia="zh-CN" w:bidi="ar-SA"/>
        </w:rPr>
        <w:t>因</w:t>
      </w:r>
      <w:r>
        <w:rPr>
          <w:rFonts w:hint="eastAsia" w:ascii="仿宋_GB2312" w:hAnsi="Times New Roman" w:eastAsia="仿宋_GB2312" w:cs="Times New Roman"/>
          <w:kern w:val="2"/>
          <w:sz w:val="28"/>
          <w:szCs w:val="28"/>
          <w:lang w:val="en-US" w:eastAsia="zh-CN" w:bidi="ar-SA"/>
        </w:rPr>
        <w:t>GIS焊接缺陷导致的漏气故障</w:t>
      </w:r>
      <w:r>
        <w:rPr>
          <w:rFonts w:hint="eastAsia" w:hAnsi="Times New Roman" w:eastAsia="仿宋_GB2312" w:cs="Times New Roman"/>
          <w:kern w:val="2"/>
          <w:sz w:val="28"/>
          <w:szCs w:val="28"/>
          <w:lang w:val="en-US" w:eastAsia="zh-CN" w:bidi="ar-SA"/>
        </w:rPr>
        <w:t>频发，</w:t>
      </w:r>
      <w:r>
        <w:rPr>
          <w:rFonts w:hint="eastAsia" w:ascii="仿宋_GB2312" w:hAnsi="Times New Roman" w:eastAsia="仿宋_GB2312" w:cs="Times New Roman"/>
          <w:kern w:val="2"/>
          <w:sz w:val="28"/>
          <w:szCs w:val="28"/>
          <w:lang w:val="en-US" w:eastAsia="zh-CN" w:bidi="ar-SA"/>
        </w:rPr>
        <w:t>与此同时，随着设备内部电场强度逼近设计极限，对焊缝内表面光滑度、几何形状连续性提出了更为严苛的要求，焊缝表面质量直接影响电场均匀性与局部放电风险，内部质量决定壳体的气密性与长期运行可靠性，这也对GIS壳体焊接提出了</w:t>
      </w:r>
      <w:r>
        <w:rPr>
          <w:rFonts w:hint="eastAsia" w:hAnsi="Times New Roman" w:eastAsia="仿宋_GB2312" w:cs="Times New Roman"/>
          <w:kern w:val="2"/>
          <w:sz w:val="28"/>
          <w:szCs w:val="28"/>
          <w:lang w:val="en-US" w:eastAsia="zh-CN" w:bidi="ar-SA"/>
        </w:rPr>
        <w:t>“</w:t>
      </w:r>
      <w:r>
        <w:rPr>
          <w:rFonts w:hint="eastAsia" w:ascii="仿宋_GB2312" w:hAnsi="Times New Roman" w:eastAsia="仿宋_GB2312" w:cs="Times New Roman"/>
          <w:kern w:val="2"/>
          <w:sz w:val="28"/>
          <w:szCs w:val="28"/>
          <w:lang w:val="en-US" w:eastAsia="zh-CN" w:bidi="ar-SA"/>
        </w:rPr>
        <w:t>形性协同</w:t>
      </w:r>
      <w:r>
        <w:rPr>
          <w:rFonts w:hint="eastAsia" w:hAnsi="Times New Roman" w:eastAsia="仿宋_GB2312" w:cs="Times New Roman"/>
          <w:kern w:val="2"/>
          <w:sz w:val="28"/>
          <w:szCs w:val="28"/>
          <w:lang w:val="en-US" w:eastAsia="zh-CN" w:bidi="ar-SA"/>
        </w:rPr>
        <w:t>”</w:t>
      </w:r>
      <w:r>
        <w:rPr>
          <w:rFonts w:hint="eastAsia" w:ascii="仿宋_GB2312" w:hAnsi="Times New Roman" w:eastAsia="仿宋_GB2312" w:cs="Times New Roman"/>
          <w:kern w:val="2"/>
          <w:sz w:val="28"/>
          <w:szCs w:val="28"/>
          <w:lang w:val="en-US" w:eastAsia="zh-CN" w:bidi="ar-SA"/>
        </w:rPr>
        <w:t>的新要求。</w:t>
      </w:r>
    </w:p>
    <w:p w14:paraId="251FA90E">
      <w:pPr>
        <w:pStyle w:val="3"/>
        <w:spacing w:line="360" w:lineRule="exact"/>
        <w:ind w:left="108"/>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随着特高压产品规格上移，壳体尺寸与壁厚显著增加，焊接残余应力与变形控制难度呈非线性上升。传统焊接工艺一次合格率</w:t>
      </w:r>
      <w:r>
        <w:rPr>
          <w:rFonts w:hint="eastAsia" w:hAnsi="Times New Roman" w:eastAsia="仿宋_GB2312" w:cs="Times New Roman"/>
          <w:kern w:val="2"/>
          <w:sz w:val="28"/>
          <w:szCs w:val="28"/>
          <w:lang w:val="en-US" w:eastAsia="zh-CN" w:bidi="ar-SA"/>
        </w:rPr>
        <w:t>较低</w:t>
      </w:r>
      <w:r>
        <w:rPr>
          <w:rFonts w:hint="eastAsia" w:ascii="仿宋_GB2312" w:hAnsi="Times New Roman" w:eastAsia="仿宋_GB2312" w:cs="Times New Roman"/>
          <w:kern w:val="2"/>
          <w:sz w:val="28"/>
          <w:szCs w:val="28"/>
          <w:lang w:val="en-US" w:eastAsia="zh-CN" w:bidi="ar-SA"/>
        </w:rPr>
        <w:t>，已难以支撑特高压GIS壳体高质量、批量化制造要求。厚壁筒体多层多道焊热积累大、变形难控；螺线管连续施焊热输入漂移导致圆度波动；法兰插管马鞍形焊缝变截面填充不均，直接影响内表面质量与电场均匀性。三类焊缝工艺参数、工装形式及变形规律各异，单条焊缝优化后组装成完整壳体仍存在变形传递与工序衔接失配，严重依赖人工修配，多工序协同效率低下，已成为制约特高压工程高质量发展的瓶颈。</w:t>
      </w:r>
    </w:p>
    <w:p w14:paraId="2BB46A30">
      <w:pPr>
        <w:pStyle w:val="3"/>
        <w:spacing w:line="360" w:lineRule="exact"/>
        <w:ind w:left="108"/>
        <w:rPr>
          <w:rFonts w:hint="eastAsia" w:ascii="仿宋_GB2312" w:hAnsi="Times New Roman" w:eastAsia="仿宋_GB2312" w:cs="Times New Roman"/>
          <w:kern w:val="2"/>
          <w:sz w:val="28"/>
          <w:szCs w:val="28"/>
          <w:lang w:val="en-US" w:eastAsia="zh-CN" w:bidi="ar-SA"/>
        </w:rPr>
      </w:pPr>
      <w:r>
        <w:rPr>
          <w:rFonts w:hint="eastAsia" w:ascii="仿宋_GB2312" w:hAnsi="Times New Roman" w:eastAsia="仿宋_GB2312" w:cs="Times New Roman"/>
          <w:kern w:val="2"/>
          <w:sz w:val="28"/>
          <w:szCs w:val="28"/>
          <w:lang w:val="en-US" w:eastAsia="zh-CN" w:bidi="ar-SA"/>
        </w:rPr>
        <w:t>针对上述难题，项目由山东泰开牵头，联合北京工业大学、山东省科学院激光研究所、东南大学、南京理工大学，从焊接机理、工艺方法到装备集成开展系统攻关，同步构建全流程协同管控体系。厚壁筒体方面，突破高深径比小孔稳定穿孔与缺陷主动抑制技术，实现8-20mm铝合金对接焊缝一次焊接成形，突破国际同类装备焊接性能极限；螺线管方面，通过多热源时空相位匹配与随焊预置弹性变形调控，有效控制了焊后圆度与直线度；马鞍形焊缝则依托免示教定位与变熔覆率精准调控技术，实现了变截面焊缝表面与内部高质量成形。在此基础上，全流程管控通过构建物理约束数据驱动的焊接状态预测模型，突破多工艺协同规划与开放空间微环境调控技术，开发了测-装-焊-检全流程协同软件系统，最终形成GIS壳体多工艺集成焊接制造体系，突破整体高质量焊接与焊缝密封可靠性的“木桶效应”。</w:t>
      </w:r>
    </w:p>
    <w:p w14:paraId="47654023">
      <w:pPr>
        <w:spacing w:before="115" w:line="240" w:lineRule="auto"/>
        <w:ind w:left="733"/>
        <w:rPr>
          <w:rFonts w:ascii="黑体" w:hAnsi="黑体" w:eastAsia="黑体" w:cs="黑体"/>
          <w:sz w:val="32"/>
          <w:szCs w:val="32"/>
        </w:rPr>
      </w:pPr>
      <w:r>
        <w:rPr>
          <w:rFonts w:ascii="黑体" w:hAnsi="黑体" w:eastAsia="黑体" w:cs="黑体"/>
          <w:spacing w:val="-2"/>
          <w:sz w:val="32"/>
          <w:szCs w:val="32"/>
        </w:rPr>
        <w:t>五、主要知识产权和标准规范等目录</w:t>
      </w:r>
    </w:p>
    <w:p w14:paraId="6557B590">
      <w:pPr>
        <w:spacing w:line="240" w:lineRule="auto"/>
      </w:pPr>
    </w:p>
    <w:tbl>
      <w:tblPr>
        <w:tblStyle w:val="9"/>
        <w:tblW w:w="853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347"/>
        <w:gridCol w:w="2137"/>
        <w:gridCol w:w="1076"/>
        <w:gridCol w:w="1683"/>
        <w:gridCol w:w="1621"/>
      </w:tblGrid>
      <w:tr w14:paraId="45C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jc w:val="center"/>
        </w:trPr>
        <w:tc>
          <w:tcPr>
            <w:tcW w:w="668" w:type="dxa"/>
            <w:textDirection w:val="tbRlV"/>
            <w:vAlign w:val="center"/>
          </w:tcPr>
          <w:p w14:paraId="21E43263">
            <w:pPr>
              <w:pStyle w:val="10"/>
              <w:spacing w:before="211" w:line="240" w:lineRule="auto"/>
              <w:ind w:left="195"/>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
                <w:sz w:val="24"/>
                <w:szCs w:val="24"/>
              </w:rPr>
              <w:t>序</w:t>
            </w:r>
            <w:r>
              <w:rPr>
                <w:rFonts w:hint="default" w:ascii="Times New Roman" w:hAnsi="Times New Roman" w:cs="Times New Roman" w:eastAsiaTheme="minorEastAsia"/>
                <w:spacing w:val="-47"/>
                <w:sz w:val="24"/>
                <w:szCs w:val="24"/>
              </w:rPr>
              <w:t xml:space="preserve"> </w:t>
            </w:r>
            <w:r>
              <w:rPr>
                <w:rFonts w:hint="default" w:ascii="Times New Roman" w:hAnsi="Times New Roman" w:cs="Times New Roman" w:eastAsiaTheme="minorEastAsia"/>
                <w:spacing w:val="-1"/>
                <w:sz w:val="24"/>
                <w:szCs w:val="24"/>
              </w:rPr>
              <w:t>号</w:t>
            </w:r>
          </w:p>
        </w:tc>
        <w:tc>
          <w:tcPr>
            <w:tcW w:w="1347" w:type="dxa"/>
            <w:vAlign w:val="center"/>
          </w:tcPr>
          <w:p w14:paraId="56971FFA">
            <w:pPr>
              <w:pStyle w:val="10"/>
              <w:spacing w:before="42" w:line="240" w:lineRule="auto"/>
              <w:ind w:left="203"/>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4"/>
                <w:sz w:val="24"/>
                <w:szCs w:val="24"/>
              </w:rPr>
              <w:t>知识产权</w:t>
            </w:r>
          </w:p>
          <w:p w14:paraId="1ED4C9D3">
            <w:pPr>
              <w:pStyle w:val="10"/>
              <w:spacing w:before="24" w:line="240" w:lineRule="auto"/>
              <w:ind w:left="123"/>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6"/>
                <w:sz w:val="24"/>
                <w:szCs w:val="24"/>
              </w:rPr>
              <w:t>（标准）类</w:t>
            </w:r>
          </w:p>
          <w:p w14:paraId="7BC60329">
            <w:pPr>
              <w:pStyle w:val="10"/>
              <w:spacing w:before="27" w:line="240" w:lineRule="auto"/>
              <w:ind w:left="561"/>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别</w:t>
            </w:r>
          </w:p>
        </w:tc>
        <w:tc>
          <w:tcPr>
            <w:tcW w:w="2137" w:type="dxa"/>
            <w:vAlign w:val="center"/>
          </w:tcPr>
          <w:p w14:paraId="6FB351D7">
            <w:pPr>
              <w:pStyle w:val="10"/>
              <w:spacing w:before="194" w:line="240" w:lineRule="auto"/>
              <w:ind w:left="598" w:right="128" w:hanging="480"/>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5"/>
                <w:sz w:val="24"/>
                <w:szCs w:val="24"/>
              </w:rPr>
              <w:t>知识产权（标准）</w:t>
            </w:r>
            <w:r>
              <w:rPr>
                <w:rFonts w:hint="default" w:ascii="Times New Roman" w:hAnsi="Times New Roman" w:cs="Times New Roman" w:eastAsiaTheme="minorEastAsia"/>
                <w:spacing w:val="-4"/>
                <w:sz w:val="24"/>
                <w:szCs w:val="24"/>
              </w:rPr>
              <w:t>具体名称</w:t>
            </w:r>
          </w:p>
        </w:tc>
        <w:tc>
          <w:tcPr>
            <w:tcW w:w="1076" w:type="dxa"/>
            <w:vAlign w:val="center"/>
          </w:tcPr>
          <w:p w14:paraId="1D5EE986">
            <w:pPr>
              <w:pStyle w:val="10"/>
              <w:spacing w:before="194" w:line="240" w:lineRule="auto"/>
              <w:ind w:left="126" w:right="25" w:firstLine="201"/>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7"/>
                <w:sz w:val="24"/>
                <w:szCs w:val="24"/>
              </w:rPr>
              <w:t>国家</w:t>
            </w:r>
            <w:r>
              <w:rPr>
                <w:rFonts w:hint="default" w:ascii="Times New Roman" w:hAnsi="Times New Roman" w:cs="Times New Roman" w:eastAsiaTheme="minorEastAsia"/>
                <w:sz w:val="24"/>
                <w:szCs w:val="24"/>
              </w:rPr>
              <w:t xml:space="preserve"> </w:t>
            </w:r>
            <w:r>
              <w:rPr>
                <w:rFonts w:hint="default" w:ascii="Times New Roman" w:hAnsi="Times New Roman" w:cs="Times New Roman" w:eastAsiaTheme="minorEastAsia"/>
                <w:spacing w:val="-11"/>
                <w:sz w:val="24"/>
                <w:szCs w:val="24"/>
              </w:rPr>
              <w:t>（地区）</w:t>
            </w:r>
          </w:p>
        </w:tc>
        <w:tc>
          <w:tcPr>
            <w:tcW w:w="1683" w:type="dxa"/>
            <w:vAlign w:val="center"/>
          </w:tcPr>
          <w:p w14:paraId="486493EF">
            <w:pPr>
              <w:pStyle w:val="10"/>
              <w:spacing w:before="194" w:line="240" w:lineRule="auto"/>
              <w:ind w:left="368" w:right="118" w:hanging="240"/>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2"/>
                <w:sz w:val="24"/>
                <w:szCs w:val="24"/>
              </w:rPr>
              <w:t>授权（标准发</w:t>
            </w:r>
            <w:r>
              <w:rPr>
                <w:rFonts w:hint="default" w:ascii="Times New Roman" w:hAnsi="Times New Roman" w:cs="Times New Roman" w:eastAsiaTheme="minorEastAsia"/>
                <w:spacing w:val="-15"/>
                <w:sz w:val="24"/>
                <w:szCs w:val="24"/>
              </w:rPr>
              <w:t>布）</w:t>
            </w:r>
            <w:r>
              <w:rPr>
                <w:rFonts w:hint="default" w:ascii="Times New Roman" w:hAnsi="Times New Roman" w:cs="Times New Roman" w:eastAsiaTheme="minorEastAsia"/>
                <w:spacing w:val="-70"/>
                <w:sz w:val="24"/>
                <w:szCs w:val="24"/>
              </w:rPr>
              <w:t xml:space="preserve"> </w:t>
            </w:r>
            <w:r>
              <w:rPr>
                <w:rFonts w:hint="default" w:ascii="Times New Roman" w:hAnsi="Times New Roman" w:cs="Times New Roman" w:eastAsiaTheme="minorEastAsia"/>
                <w:spacing w:val="-15"/>
                <w:sz w:val="24"/>
                <w:szCs w:val="24"/>
              </w:rPr>
              <w:t>日期</w:t>
            </w:r>
          </w:p>
        </w:tc>
        <w:tc>
          <w:tcPr>
            <w:tcW w:w="1621" w:type="dxa"/>
            <w:vAlign w:val="center"/>
          </w:tcPr>
          <w:p w14:paraId="67353E21">
            <w:pPr>
              <w:pStyle w:val="10"/>
              <w:spacing w:before="41" w:line="240" w:lineRule="auto"/>
              <w:ind w:left="116"/>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8"/>
                <w:sz w:val="24"/>
                <w:szCs w:val="24"/>
              </w:rPr>
              <w:t>证书编号（标</w:t>
            </w:r>
          </w:p>
          <w:p w14:paraId="55E21755">
            <w:pPr>
              <w:pStyle w:val="10"/>
              <w:spacing w:before="24" w:line="240" w:lineRule="auto"/>
              <w:ind w:left="219"/>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3"/>
                <w:sz w:val="24"/>
                <w:szCs w:val="24"/>
              </w:rPr>
              <w:t>准批准发布</w:t>
            </w:r>
          </w:p>
          <w:p w14:paraId="2B347A72">
            <w:pPr>
              <w:pStyle w:val="10"/>
              <w:spacing w:before="28" w:line="240" w:lineRule="auto"/>
              <w:ind w:left="460"/>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5"/>
                <w:sz w:val="24"/>
                <w:szCs w:val="24"/>
              </w:rPr>
              <w:t>部门）</w:t>
            </w:r>
          </w:p>
        </w:tc>
      </w:tr>
      <w:tr w14:paraId="209CE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668" w:type="dxa"/>
            <w:vAlign w:val="center"/>
          </w:tcPr>
          <w:p w14:paraId="0C40EB79">
            <w:pPr>
              <w:numPr>
                <w:ilvl w:val="0"/>
                <w:numId w:val="1"/>
              </w:numPr>
              <w:spacing w:before="232" w:line="240" w:lineRule="auto"/>
              <w:ind w:left="454" w:leftChars="0" w:hanging="454" w:firstLineChars="0"/>
              <w:jc w:val="right"/>
              <w:rPr>
                <w:rFonts w:hint="default" w:ascii="Times New Roman" w:hAnsi="Times New Roman" w:cs="Times New Roman" w:eastAsiaTheme="minorEastAsia"/>
                <w:sz w:val="24"/>
                <w:szCs w:val="24"/>
              </w:rPr>
            </w:pPr>
          </w:p>
        </w:tc>
        <w:tc>
          <w:tcPr>
            <w:tcW w:w="1347" w:type="dxa"/>
            <w:shd w:val="clear"/>
            <w:vAlign w:val="center"/>
          </w:tcPr>
          <w:p w14:paraId="0789DB61">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发明专利</w:t>
            </w:r>
          </w:p>
        </w:tc>
        <w:tc>
          <w:tcPr>
            <w:tcW w:w="2137" w:type="dxa"/>
            <w:shd w:val="clear"/>
            <w:vAlign w:val="center"/>
          </w:tcPr>
          <w:p w14:paraId="432592FE">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自适应性变极性等离子弧焊电源</w:t>
            </w:r>
          </w:p>
        </w:tc>
        <w:tc>
          <w:tcPr>
            <w:tcW w:w="1076" w:type="dxa"/>
            <w:shd w:val="clear"/>
            <w:vAlign w:val="center"/>
          </w:tcPr>
          <w:p w14:paraId="13820C59">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60D13F6D">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lang w:val="en-US" w:eastAsia="zh-CN"/>
              </w:rPr>
              <w:t>2015年6月3日</w:t>
            </w:r>
          </w:p>
        </w:tc>
        <w:tc>
          <w:tcPr>
            <w:tcW w:w="1621" w:type="dxa"/>
            <w:shd w:val="clear"/>
            <w:vAlign w:val="center"/>
          </w:tcPr>
          <w:p w14:paraId="091ED1DB">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lang w:val="en-US" w:eastAsia="zh-CN"/>
              </w:rPr>
              <w:t>第1687089号</w:t>
            </w:r>
          </w:p>
        </w:tc>
      </w:tr>
      <w:tr w14:paraId="7DB5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54FAA615">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5E69031D">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lang w:val="en-US" w:eastAsia="zh-CN"/>
              </w:rPr>
              <w:t>发明专利</w:t>
            </w:r>
          </w:p>
        </w:tc>
        <w:tc>
          <w:tcPr>
            <w:tcW w:w="2137" w:type="dxa"/>
            <w:shd w:val="clear"/>
            <w:vAlign w:val="center"/>
          </w:tcPr>
          <w:p w14:paraId="30A82600">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rPr>
              <w:t>多电极输出弧焊电源</w:t>
            </w:r>
          </w:p>
        </w:tc>
        <w:tc>
          <w:tcPr>
            <w:tcW w:w="1076" w:type="dxa"/>
            <w:shd w:val="clear"/>
            <w:vAlign w:val="center"/>
          </w:tcPr>
          <w:p w14:paraId="47DC073B">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343DC65E">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lang w:val="en-US" w:eastAsia="zh-CN"/>
              </w:rPr>
              <w:t>2011年10月5日</w:t>
            </w:r>
          </w:p>
        </w:tc>
        <w:tc>
          <w:tcPr>
            <w:tcW w:w="1621" w:type="dxa"/>
            <w:shd w:val="clear"/>
            <w:vAlign w:val="center"/>
          </w:tcPr>
          <w:p w14:paraId="6DBF0257">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lang w:val="en-US" w:eastAsia="zh-CN"/>
              </w:rPr>
              <w:t>第849498号</w:t>
            </w:r>
          </w:p>
        </w:tc>
      </w:tr>
      <w:tr w14:paraId="0F2ACC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7183EA20">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4D597733">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发明专利</w:t>
            </w:r>
          </w:p>
        </w:tc>
        <w:tc>
          <w:tcPr>
            <w:tcW w:w="2137" w:type="dxa"/>
            <w:shd w:val="clear"/>
            <w:vAlign w:val="center"/>
          </w:tcPr>
          <w:p w14:paraId="1887DF06">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一种断路器缺陷部件的检测方法</w:t>
            </w:r>
          </w:p>
        </w:tc>
        <w:tc>
          <w:tcPr>
            <w:tcW w:w="1076" w:type="dxa"/>
            <w:shd w:val="clear"/>
            <w:vAlign w:val="center"/>
          </w:tcPr>
          <w:p w14:paraId="2867AEA8">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中国</w:t>
            </w:r>
          </w:p>
        </w:tc>
        <w:tc>
          <w:tcPr>
            <w:tcW w:w="1683" w:type="dxa"/>
            <w:shd w:val="clear"/>
            <w:vAlign w:val="center"/>
          </w:tcPr>
          <w:p w14:paraId="60C07CE1">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2022年4月29日</w:t>
            </w:r>
          </w:p>
        </w:tc>
        <w:tc>
          <w:tcPr>
            <w:tcW w:w="1621" w:type="dxa"/>
            <w:shd w:val="clear"/>
            <w:vAlign w:val="center"/>
          </w:tcPr>
          <w:p w14:paraId="5A4C6D1F">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第5122251号</w:t>
            </w:r>
          </w:p>
        </w:tc>
      </w:tr>
      <w:tr w14:paraId="4F76D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5D858FAF">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19DB9CED">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发明专利</w:t>
            </w:r>
          </w:p>
        </w:tc>
        <w:tc>
          <w:tcPr>
            <w:tcW w:w="2137" w:type="dxa"/>
            <w:shd w:val="clear"/>
            <w:vAlign w:val="center"/>
          </w:tcPr>
          <w:p w14:paraId="38BF9E1D">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一种人机一体化系统及方法</w:t>
            </w:r>
          </w:p>
        </w:tc>
        <w:tc>
          <w:tcPr>
            <w:tcW w:w="1076" w:type="dxa"/>
            <w:shd w:val="clear"/>
            <w:vAlign w:val="center"/>
          </w:tcPr>
          <w:p w14:paraId="7CED7763">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5B6C7ED3">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lang w:val="en-US" w:eastAsia="zh-CN"/>
              </w:rPr>
              <w:t>2023年6月9日</w:t>
            </w:r>
          </w:p>
        </w:tc>
        <w:tc>
          <w:tcPr>
            <w:tcW w:w="1621" w:type="dxa"/>
            <w:shd w:val="clear"/>
            <w:vAlign w:val="center"/>
          </w:tcPr>
          <w:p w14:paraId="20EE3D90">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第6038625号</w:t>
            </w:r>
          </w:p>
        </w:tc>
      </w:tr>
      <w:tr w14:paraId="14655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762B1C11">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3C69A373">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发明专利</w:t>
            </w:r>
          </w:p>
        </w:tc>
        <w:tc>
          <w:tcPr>
            <w:tcW w:w="2137" w:type="dxa"/>
            <w:shd w:val="clear"/>
            <w:vAlign w:val="center"/>
          </w:tcPr>
          <w:p w14:paraId="52DCEBC1">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一种252kV的落地罐式全封闭组合电器</w:t>
            </w:r>
          </w:p>
        </w:tc>
        <w:tc>
          <w:tcPr>
            <w:tcW w:w="1076" w:type="dxa"/>
            <w:shd w:val="clear"/>
            <w:vAlign w:val="center"/>
          </w:tcPr>
          <w:p w14:paraId="1768B373">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中国</w:t>
            </w:r>
          </w:p>
        </w:tc>
        <w:tc>
          <w:tcPr>
            <w:tcW w:w="1683" w:type="dxa"/>
            <w:shd w:val="clear"/>
            <w:vAlign w:val="center"/>
          </w:tcPr>
          <w:p w14:paraId="4451991E">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2018年5月1日</w:t>
            </w:r>
          </w:p>
        </w:tc>
        <w:tc>
          <w:tcPr>
            <w:tcW w:w="1621" w:type="dxa"/>
            <w:shd w:val="clear"/>
            <w:vAlign w:val="center"/>
          </w:tcPr>
          <w:p w14:paraId="074467D1">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第2907115号</w:t>
            </w:r>
          </w:p>
        </w:tc>
      </w:tr>
      <w:tr w14:paraId="6B94F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1C015B1F">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347D75B2">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发明专利</w:t>
            </w:r>
          </w:p>
        </w:tc>
        <w:tc>
          <w:tcPr>
            <w:tcW w:w="2137" w:type="dxa"/>
            <w:shd w:val="clear"/>
            <w:vAlign w:val="center"/>
          </w:tcPr>
          <w:p w14:paraId="0A6C7607">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检测气体绝缘组合电器设备内部局部放电的方法和检测定位装置</w:t>
            </w:r>
          </w:p>
        </w:tc>
        <w:tc>
          <w:tcPr>
            <w:tcW w:w="1076" w:type="dxa"/>
            <w:shd w:val="clear"/>
            <w:vAlign w:val="center"/>
          </w:tcPr>
          <w:p w14:paraId="17BA97FB">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rPr>
              <w:t>中国</w:t>
            </w:r>
          </w:p>
        </w:tc>
        <w:tc>
          <w:tcPr>
            <w:tcW w:w="1683" w:type="dxa"/>
            <w:shd w:val="clear"/>
            <w:vAlign w:val="center"/>
          </w:tcPr>
          <w:p w14:paraId="489A7C2F">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lang w:val="en-US" w:eastAsia="zh-CN"/>
              </w:rPr>
              <w:t>2012年11月21日</w:t>
            </w:r>
          </w:p>
        </w:tc>
        <w:tc>
          <w:tcPr>
            <w:tcW w:w="1621" w:type="dxa"/>
            <w:shd w:val="clear"/>
            <w:vAlign w:val="center"/>
          </w:tcPr>
          <w:p w14:paraId="0531FEF0">
            <w:pPr>
              <w:adjustRightInd w:val="0"/>
              <w:snapToGrid w:val="0"/>
              <w:jc w:val="center"/>
              <w:rPr>
                <w:rFonts w:hint="default" w:ascii="Times New Roman" w:hAnsi="Times New Roman" w:eastAsia="Arial" w:cs="Times New Roman"/>
                <w:snapToGrid w:val="0"/>
                <w:color w:val="000000"/>
                <w:kern w:val="0"/>
                <w:sz w:val="21"/>
                <w:szCs w:val="21"/>
                <w:highlight w:val="none"/>
                <w:lang w:val="en-US" w:eastAsia="en-US" w:bidi="ar-SA"/>
              </w:rPr>
            </w:pPr>
            <w:r>
              <w:rPr>
                <w:rFonts w:hint="default" w:ascii="Times New Roman" w:hAnsi="Times New Roman" w:cs="Times New Roman"/>
                <w:sz w:val="21"/>
                <w:szCs w:val="21"/>
                <w:lang w:val="en-US" w:eastAsia="zh-CN"/>
              </w:rPr>
              <w:t>第1083952号</w:t>
            </w:r>
          </w:p>
        </w:tc>
      </w:tr>
      <w:tr w14:paraId="3DA55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044D530C">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4724D6CE">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发明专利</w:t>
            </w:r>
          </w:p>
        </w:tc>
        <w:tc>
          <w:tcPr>
            <w:tcW w:w="2137" w:type="dxa"/>
            <w:shd w:val="clear"/>
            <w:vAlign w:val="center"/>
          </w:tcPr>
          <w:p w14:paraId="41FD2698">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一种电弧焊接的缺陷抑制方法</w:t>
            </w:r>
          </w:p>
        </w:tc>
        <w:tc>
          <w:tcPr>
            <w:tcW w:w="1076" w:type="dxa"/>
            <w:shd w:val="clear"/>
            <w:vAlign w:val="center"/>
          </w:tcPr>
          <w:p w14:paraId="10F60426">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30B37202">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lang w:val="en-US" w:eastAsia="zh-CN"/>
              </w:rPr>
              <w:t>2019年2月19日</w:t>
            </w:r>
          </w:p>
        </w:tc>
        <w:tc>
          <w:tcPr>
            <w:tcW w:w="1621" w:type="dxa"/>
            <w:shd w:val="clear"/>
            <w:vAlign w:val="center"/>
          </w:tcPr>
          <w:p w14:paraId="30FF4989">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lang w:val="en-US" w:eastAsia="zh-CN"/>
              </w:rPr>
              <w:t>第3256874号</w:t>
            </w:r>
          </w:p>
        </w:tc>
      </w:tr>
      <w:tr w14:paraId="7B156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7D182EC8">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1B151644">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发明专利</w:t>
            </w:r>
          </w:p>
        </w:tc>
        <w:tc>
          <w:tcPr>
            <w:tcW w:w="2137" w:type="dxa"/>
            <w:shd w:val="clear"/>
            <w:vAlign w:val="center"/>
          </w:tcPr>
          <w:p w14:paraId="50EA6E2D">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highlight w:val="none"/>
              </w:rPr>
              <w:t>基于二维振镜与智能可调光路的激光精密清洗装置及其控制方法</w:t>
            </w:r>
          </w:p>
        </w:tc>
        <w:tc>
          <w:tcPr>
            <w:tcW w:w="1076" w:type="dxa"/>
            <w:shd w:val="clear"/>
            <w:vAlign w:val="center"/>
          </w:tcPr>
          <w:p w14:paraId="6190C8DD">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31E309D5">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2025年10月24日</w:t>
            </w:r>
          </w:p>
        </w:tc>
        <w:tc>
          <w:tcPr>
            <w:tcW w:w="1621" w:type="dxa"/>
            <w:shd w:val="clear"/>
            <w:vAlign w:val="center"/>
          </w:tcPr>
          <w:p w14:paraId="770E04ED">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第8395869号</w:t>
            </w:r>
          </w:p>
        </w:tc>
      </w:tr>
      <w:tr w14:paraId="3157D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6086160A">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58927FBF">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发明专利</w:t>
            </w:r>
          </w:p>
        </w:tc>
        <w:tc>
          <w:tcPr>
            <w:tcW w:w="2137" w:type="dxa"/>
            <w:shd w:val="clear"/>
            <w:vAlign w:val="center"/>
          </w:tcPr>
          <w:p w14:paraId="2C1BBECB">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一种可自适应调节的双丝熔化极电弧焊接装置及方法</w:t>
            </w:r>
          </w:p>
        </w:tc>
        <w:tc>
          <w:tcPr>
            <w:tcW w:w="1076" w:type="dxa"/>
            <w:shd w:val="clear"/>
            <w:vAlign w:val="center"/>
          </w:tcPr>
          <w:p w14:paraId="74693E82">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中国</w:t>
            </w:r>
          </w:p>
        </w:tc>
        <w:tc>
          <w:tcPr>
            <w:tcW w:w="1683" w:type="dxa"/>
            <w:shd w:val="clear"/>
            <w:vAlign w:val="center"/>
          </w:tcPr>
          <w:p w14:paraId="4A9E0F40">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2022年6月28日</w:t>
            </w:r>
          </w:p>
        </w:tc>
        <w:tc>
          <w:tcPr>
            <w:tcW w:w="1621" w:type="dxa"/>
            <w:shd w:val="clear"/>
            <w:vAlign w:val="center"/>
          </w:tcPr>
          <w:p w14:paraId="033CFE2C">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第5266906号</w:t>
            </w:r>
          </w:p>
        </w:tc>
      </w:tr>
      <w:tr w14:paraId="190B1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668" w:type="dxa"/>
            <w:vAlign w:val="center"/>
          </w:tcPr>
          <w:p w14:paraId="27245516">
            <w:pPr>
              <w:numPr>
                <w:ilvl w:val="0"/>
                <w:numId w:val="1"/>
              </w:numPr>
              <w:spacing w:before="69" w:line="240" w:lineRule="auto"/>
              <w:ind w:left="454" w:leftChars="0" w:hanging="454" w:firstLineChars="0"/>
              <w:jc w:val="right"/>
              <w:rPr>
                <w:rFonts w:hint="default" w:ascii="Times New Roman" w:hAnsi="Times New Roman" w:cs="Times New Roman" w:eastAsiaTheme="minorEastAsia"/>
                <w:sz w:val="24"/>
                <w:szCs w:val="24"/>
                <w:lang w:val="en-US" w:eastAsia="zh-CN"/>
              </w:rPr>
            </w:pPr>
          </w:p>
        </w:tc>
        <w:tc>
          <w:tcPr>
            <w:tcW w:w="1347" w:type="dxa"/>
            <w:shd w:val="clear"/>
            <w:vAlign w:val="center"/>
          </w:tcPr>
          <w:p w14:paraId="6F338F81">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highlight w:val="none"/>
              </w:rPr>
              <w:t>发明专利</w:t>
            </w:r>
          </w:p>
        </w:tc>
        <w:tc>
          <w:tcPr>
            <w:tcW w:w="2137" w:type="dxa"/>
            <w:shd w:val="clear"/>
            <w:vAlign w:val="center"/>
          </w:tcPr>
          <w:p w14:paraId="68B03F3B">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sz w:val="21"/>
                <w:szCs w:val="21"/>
              </w:rPr>
              <w:t>眼动特征驱动的协作机械臂遥操作控制系统与方法</w:t>
            </w:r>
          </w:p>
        </w:tc>
        <w:tc>
          <w:tcPr>
            <w:tcW w:w="1076" w:type="dxa"/>
            <w:shd w:val="clear"/>
            <w:vAlign w:val="center"/>
          </w:tcPr>
          <w:p w14:paraId="41977799">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color w:val="000000"/>
                <w:sz w:val="21"/>
                <w:szCs w:val="21"/>
                <w:highlight w:val="none"/>
                <w:lang w:val="en-US" w:eastAsia="zh-CN"/>
              </w:rPr>
              <w:t>中国</w:t>
            </w:r>
          </w:p>
        </w:tc>
        <w:tc>
          <w:tcPr>
            <w:tcW w:w="1683" w:type="dxa"/>
            <w:shd w:val="clear"/>
            <w:vAlign w:val="center"/>
          </w:tcPr>
          <w:p w14:paraId="07AC42E4">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cs="Times New Roman"/>
                <w:kern w:val="2"/>
                <w:sz w:val="21"/>
                <w:szCs w:val="21"/>
                <w:lang w:val="en-US" w:eastAsia="zh-CN" w:bidi="ar-SA"/>
              </w:rPr>
              <w:t>2025年11月14日</w:t>
            </w:r>
          </w:p>
        </w:tc>
        <w:tc>
          <w:tcPr>
            <w:tcW w:w="1621" w:type="dxa"/>
            <w:shd w:val="clear"/>
            <w:vAlign w:val="center"/>
          </w:tcPr>
          <w:p w14:paraId="797DD75C">
            <w:pPr>
              <w:adjustRightInd w:val="0"/>
              <w:snapToGrid w:val="0"/>
              <w:jc w:val="center"/>
              <w:rPr>
                <w:rFonts w:hint="default" w:ascii="Times New Roman" w:hAnsi="Times New Roman" w:eastAsia="Arial" w:cs="Times New Roman"/>
                <w:snapToGrid w:val="0"/>
                <w:color w:val="000000"/>
                <w:kern w:val="0"/>
                <w:sz w:val="21"/>
                <w:szCs w:val="21"/>
                <w:lang w:val="en-US" w:eastAsia="en-US" w:bidi="ar-SA"/>
              </w:rPr>
            </w:pPr>
            <w:r>
              <w:rPr>
                <w:rFonts w:hint="default" w:ascii="Times New Roman" w:hAnsi="Times New Roman" w:eastAsia="宋体" w:cs="Times New Roman"/>
                <w:kern w:val="2"/>
                <w:sz w:val="21"/>
                <w:szCs w:val="21"/>
                <w:lang w:val="en-US" w:eastAsia="zh-CN" w:bidi="ar-SA"/>
              </w:rPr>
              <w:t>第8467109号</w:t>
            </w:r>
          </w:p>
        </w:tc>
      </w:tr>
    </w:tbl>
    <w:p w14:paraId="26B4D7A8">
      <w:pP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14:paraId="3D7C624C">
      <w:pPr>
        <w:spacing w:line="240" w:lineRule="auto"/>
      </w:pPr>
    </w:p>
    <w:tbl>
      <w:tblPr>
        <w:tblStyle w:val="9"/>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310"/>
        <w:gridCol w:w="3313"/>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14:paraId="469F1598">
            <w:pPr>
              <w:pStyle w:val="10"/>
              <w:spacing w:before="35" w:line="240" w:lineRule="auto"/>
              <w:ind w:left="3538"/>
              <w:rPr>
                <w:sz w:val="20"/>
                <w:szCs w:val="20"/>
              </w:rPr>
            </w:pPr>
            <w:r>
              <w:rPr>
                <w:spacing w:val="8"/>
                <w:sz w:val="20"/>
                <w:szCs w:val="20"/>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797923D3">
            <w:pPr>
              <w:pStyle w:val="10"/>
              <w:spacing w:before="33" w:line="240" w:lineRule="auto"/>
              <w:ind w:left="126"/>
              <w:rPr>
                <w:sz w:val="20"/>
                <w:szCs w:val="20"/>
              </w:rPr>
            </w:pPr>
            <w:r>
              <w:rPr>
                <w:spacing w:val="4"/>
                <w:sz w:val="20"/>
                <w:szCs w:val="20"/>
              </w:rPr>
              <w:t>排名</w:t>
            </w:r>
          </w:p>
        </w:tc>
        <w:tc>
          <w:tcPr>
            <w:tcW w:w="1249" w:type="dxa"/>
            <w:vAlign w:val="top"/>
          </w:tcPr>
          <w:p w14:paraId="1E39D39F">
            <w:pPr>
              <w:pStyle w:val="10"/>
              <w:spacing w:before="33" w:line="240" w:lineRule="auto"/>
              <w:ind w:left="418"/>
              <w:rPr>
                <w:sz w:val="20"/>
                <w:szCs w:val="20"/>
              </w:rPr>
            </w:pPr>
            <w:r>
              <w:rPr>
                <w:spacing w:val="4"/>
                <w:sz w:val="20"/>
                <w:szCs w:val="20"/>
              </w:rPr>
              <w:t>姓名</w:t>
            </w:r>
          </w:p>
        </w:tc>
        <w:tc>
          <w:tcPr>
            <w:tcW w:w="3310" w:type="dxa"/>
            <w:vAlign w:val="top"/>
          </w:tcPr>
          <w:p w14:paraId="6D25A032">
            <w:pPr>
              <w:pStyle w:val="10"/>
              <w:spacing w:before="33" w:line="240" w:lineRule="auto"/>
              <w:ind w:left="1243"/>
              <w:rPr>
                <w:sz w:val="20"/>
                <w:szCs w:val="20"/>
              </w:rPr>
            </w:pPr>
            <w:r>
              <w:rPr>
                <w:spacing w:val="6"/>
                <w:sz w:val="20"/>
                <w:szCs w:val="20"/>
              </w:rPr>
              <w:t>工作单位</w:t>
            </w:r>
          </w:p>
        </w:tc>
        <w:tc>
          <w:tcPr>
            <w:tcW w:w="3313" w:type="dxa"/>
            <w:vAlign w:val="top"/>
          </w:tcPr>
          <w:p w14:paraId="72CAFF68">
            <w:pPr>
              <w:pStyle w:val="10"/>
              <w:spacing w:before="33" w:line="240" w:lineRule="auto"/>
              <w:ind w:left="1242"/>
              <w:rPr>
                <w:sz w:val="20"/>
                <w:szCs w:val="20"/>
              </w:rPr>
            </w:pPr>
            <w:r>
              <w:rPr>
                <w:spacing w:val="6"/>
                <w:sz w:val="20"/>
                <w:szCs w:val="20"/>
              </w:rPr>
              <w:t>完成单位</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B9949C8">
            <w:pPr>
              <w:spacing w:before="67"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1249" w:type="dxa"/>
            <w:vAlign w:val="center"/>
          </w:tcPr>
          <w:p w14:paraId="2A1FE9AF">
            <w:pPr>
              <w:jc w:val="center"/>
              <w:rPr>
                <w:rFonts w:hint="default" w:eastAsia="宋体"/>
                <w:sz w:val="20"/>
                <w:szCs w:val="20"/>
                <w:lang w:val="en-US" w:eastAsia="zh-CN"/>
              </w:rPr>
            </w:pPr>
            <w:r>
              <w:rPr>
                <w:rFonts w:hint="eastAsia" w:eastAsia="宋体"/>
                <w:sz w:val="20"/>
                <w:szCs w:val="20"/>
                <w:lang w:val="en-US" w:eastAsia="zh-CN"/>
              </w:rPr>
              <w:t>陈树君</w:t>
            </w:r>
          </w:p>
        </w:tc>
        <w:tc>
          <w:tcPr>
            <w:tcW w:w="3310" w:type="dxa"/>
            <w:vAlign w:val="center"/>
          </w:tcPr>
          <w:p w14:paraId="01FBD7C6">
            <w:pPr>
              <w:jc w:val="center"/>
              <w:rPr>
                <w:rFonts w:hint="default" w:eastAsia="宋体"/>
                <w:sz w:val="20"/>
                <w:szCs w:val="20"/>
                <w:lang w:val="en-US" w:eastAsia="zh-CN"/>
              </w:rPr>
            </w:pPr>
            <w:r>
              <w:rPr>
                <w:rFonts w:hint="eastAsia" w:eastAsia="宋体"/>
                <w:sz w:val="20"/>
                <w:szCs w:val="20"/>
                <w:lang w:val="en-US" w:eastAsia="zh-CN"/>
              </w:rPr>
              <w:t>北京工业大学</w:t>
            </w:r>
          </w:p>
        </w:tc>
        <w:tc>
          <w:tcPr>
            <w:tcW w:w="3313" w:type="dxa"/>
            <w:vAlign w:val="center"/>
          </w:tcPr>
          <w:p w14:paraId="0B651B38">
            <w:pPr>
              <w:jc w:val="center"/>
              <w:rPr>
                <w:rFonts w:hint="default" w:eastAsia="宋体"/>
                <w:sz w:val="20"/>
                <w:szCs w:val="20"/>
                <w:highlight w:val="none"/>
                <w:lang w:val="en-US" w:eastAsia="zh-CN"/>
              </w:rPr>
            </w:pPr>
            <w:r>
              <w:rPr>
                <w:rFonts w:hint="eastAsia" w:eastAsia="宋体"/>
                <w:sz w:val="20"/>
                <w:szCs w:val="20"/>
                <w:highlight w:val="none"/>
                <w:lang w:val="en-US" w:eastAsia="zh-CN"/>
              </w:rPr>
              <w:t>北京工业大学</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40C1A967">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1249" w:type="dxa"/>
            <w:vAlign w:val="center"/>
          </w:tcPr>
          <w:p w14:paraId="3E95A893">
            <w:pPr>
              <w:jc w:val="center"/>
              <w:rPr>
                <w:rFonts w:hint="eastAsia" w:eastAsia="宋体"/>
                <w:sz w:val="20"/>
                <w:szCs w:val="20"/>
                <w:lang w:val="en-US" w:eastAsia="zh-CN"/>
              </w:rPr>
            </w:pPr>
            <w:r>
              <w:rPr>
                <w:rFonts w:hint="eastAsia" w:eastAsia="宋体"/>
                <w:sz w:val="20"/>
                <w:szCs w:val="20"/>
                <w:lang w:val="en-US" w:eastAsia="zh-CN"/>
              </w:rPr>
              <w:t>刘博</w:t>
            </w:r>
          </w:p>
        </w:tc>
        <w:tc>
          <w:tcPr>
            <w:tcW w:w="3310" w:type="dxa"/>
            <w:vAlign w:val="center"/>
          </w:tcPr>
          <w:p w14:paraId="604EA9AB">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c>
          <w:tcPr>
            <w:tcW w:w="3313" w:type="dxa"/>
            <w:vAlign w:val="center"/>
          </w:tcPr>
          <w:p w14:paraId="7CF13870">
            <w:pPr>
              <w:jc w:val="center"/>
              <w:rPr>
                <w:sz w:val="20"/>
                <w:szCs w:val="20"/>
                <w:highlight w:val="none"/>
              </w:rPr>
            </w:pPr>
            <w:r>
              <w:rPr>
                <w:rFonts w:hint="eastAsia" w:eastAsia="宋体"/>
                <w:sz w:val="20"/>
                <w:szCs w:val="20"/>
                <w:lang w:val="en-US" w:eastAsia="zh-CN"/>
              </w:rPr>
              <w:t>山东泰开高压开关有限公司</w:t>
            </w:r>
          </w:p>
        </w:tc>
      </w:tr>
      <w:tr w14:paraId="1BE8B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346897C7">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1249" w:type="dxa"/>
            <w:vAlign w:val="center"/>
          </w:tcPr>
          <w:p w14:paraId="4D2B1F4F">
            <w:pPr>
              <w:jc w:val="center"/>
              <w:rPr>
                <w:rFonts w:hint="default" w:eastAsia="宋体"/>
                <w:sz w:val="20"/>
                <w:szCs w:val="20"/>
                <w:lang w:val="en-US" w:eastAsia="zh-CN"/>
              </w:rPr>
            </w:pPr>
            <w:r>
              <w:rPr>
                <w:rFonts w:hint="eastAsia" w:eastAsia="宋体"/>
                <w:sz w:val="20"/>
                <w:szCs w:val="20"/>
                <w:lang w:val="en-US" w:eastAsia="zh-CN"/>
              </w:rPr>
              <w:t>蒋凡</w:t>
            </w:r>
          </w:p>
        </w:tc>
        <w:tc>
          <w:tcPr>
            <w:tcW w:w="3310" w:type="dxa"/>
            <w:vAlign w:val="center"/>
          </w:tcPr>
          <w:p w14:paraId="0292245F">
            <w:pPr>
              <w:jc w:val="center"/>
              <w:rPr>
                <w:rFonts w:hint="eastAsia" w:eastAsia="宋体"/>
                <w:sz w:val="20"/>
                <w:szCs w:val="20"/>
                <w:lang w:val="en-US" w:eastAsia="zh-CN"/>
              </w:rPr>
            </w:pPr>
            <w:r>
              <w:rPr>
                <w:rFonts w:hint="eastAsia" w:eastAsia="宋体"/>
                <w:sz w:val="20"/>
                <w:szCs w:val="20"/>
                <w:lang w:val="en-US" w:eastAsia="zh-CN"/>
              </w:rPr>
              <w:t>北京工业大学</w:t>
            </w:r>
          </w:p>
        </w:tc>
        <w:tc>
          <w:tcPr>
            <w:tcW w:w="3313" w:type="dxa"/>
            <w:vAlign w:val="center"/>
          </w:tcPr>
          <w:p w14:paraId="2F571A38">
            <w:pPr>
              <w:jc w:val="center"/>
              <w:rPr>
                <w:rFonts w:hint="eastAsia" w:eastAsia="宋体"/>
                <w:sz w:val="20"/>
                <w:szCs w:val="20"/>
                <w:lang w:val="en-US" w:eastAsia="zh-CN"/>
              </w:rPr>
            </w:pPr>
            <w:r>
              <w:rPr>
                <w:rFonts w:hint="eastAsia" w:eastAsia="宋体"/>
                <w:sz w:val="20"/>
                <w:szCs w:val="20"/>
                <w:lang w:val="en-US" w:eastAsia="zh-CN"/>
              </w:rPr>
              <w:t>北京工业大学</w:t>
            </w:r>
          </w:p>
        </w:tc>
      </w:tr>
      <w:tr w14:paraId="04340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19E7EB2F">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1249" w:type="dxa"/>
            <w:vAlign w:val="center"/>
          </w:tcPr>
          <w:p w14:paraId="6236FFB4">
            <w:pPr>
              <w:jc w:val="center"/>
              <w:rPr>
                <w:rFonts w:hint="default" w:eastAsia="宋体"/>
                <w:sz w:val="20"/>
                <w:szCs w:val="20"/>
                <w:lang w:val="en-US" w:eastAsia="zh-CN"/>
              </w:rPr>
            </w:pPr>
            <w:r>
              <w:rPr>
                <w:rFonts w:hint="eastAsia" w:eastAsia="宋体"/>
                <w:sz w:val="20"/>
                <w:szCs w:val="20"/>
                <w:lang w:val="en-US" w:eastAsia="zh-CN"/>
              </w:rPr>
              <w:t>任远</w:t>
            </w:r>
          </w:p>
        </w:tc>
        <w:tc>
          <w:tcPr>
            <w:tcW w:w="3310" w:type="dxa"/>
            <w:vAlign w:val="center"/>
          </w:tcPr>
          <w:p w14:paraId="62625D9A">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c>
          <w:tcPr>
            <w:tcW w:w="3313" w:type="dxa"/>
            <w:vAlign w:val="center"/>
          </w:tcPr>
          <w:p w14:paraId="2FF7DCE9">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r>
      <w:tr w14:paraId="16F45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58B6BA0D">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1249" w:type="dxa"/>
            <w:vAlign w:val="center"/>
          </w:tcPr>
          <w:p w14:paraId="119F9EF9">
            <w:pPr>
              <w:jc w:val="center"/>
              <w:rPr>
                <w:rFonts w:hint="default" w:eastAsia="宋体"/>
                <w:sz w:val="20"/>
                <w:szCs w:val="20"/>
                <w:lang w:val="en-US" w:eastAsia="zh-CN"/>
              </w:rPr>
            </w:pPr>
            <w:r>
              <w:rPr>
                <w:rFonts w:hint="eastAsia" w:eastAsia="宋体"/>
                <w:sz w:val="20"/>
                <w:szCs w:val="20"/>
                <w:lang w:val="en-US" w:eastAsia="zh-CN"/>
              </w:rPr>
              <w:t>汪建成</w:t>
            </w:r>
          </w:p>
        </w:tc>
        <w:tc>
          <w:tcPr>
            <w:tcW w:w="3310" w:type="dxa"/>
            <w:vAlign w:val="center"/>
          </w:tcPr>
          <w:p w14:paraId="3CAFB24B">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c>
          <w:tcPr>
            <w:tcW w:w="3313" w:type="dxa"/>
            <w:vAlign w:val="center"/>
          </w:tcPr>
          <w:p w14:paraId="321343FB">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r>
      <w:tr w14:paraId="50725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573483C3">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w:t>
            </w:r>
          </w:p>
        </w:tc>
        <w:tc>
          <w:tcPr>
            <w:tcW w:w="1249" w:type="dxa"/>
            <w:vAlign w:val="center"/>
          </w:tcPr>
          <w:p w14:paraId="5AFFE183">
            <w:pPr>
              <w:jc w:val="center"/>
              <w:rPr>
                <w:rFonts w:hint="default" w:eastAsia="宋体"/>
                <w:sz w:val="20"/>
                <w:szCs w:val="20"/>
                <w:lang w:val="en-US" w:eastAsia="zh-CN"/>
              </w:rPr>
            </w:pPr>
            <w:r>
              <w:rPr>
                <w:rFonts w:hint="eastAsia" w:eastAsia="宋体"/>
                <w:sz w:val="20"/>
                <w:szCs w:val="20"/>
                <w:lang w:val="en-US" w:eastAsia="zh-CN"/>
              </w:rPr>
              <w:t>成巍</w:t>
            </w:r>
          </w:p>
        </w:tc>
        <w:tc>
          <w:tcPr>
            <w:tcW w:w="3310" w:type="dxa"/>
            <w:vAlign w:val="center"/>
          </w:tcPr>
          <w:p w14:paraId="258A41BB">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c>
          <w:tcPr>
            <w:tcW w:w="3313" w:type="dxa"/>
            <w:vAlign w:val="center"/>
          </w:tcPr>
          <w:p w14:paraId="4B39C549">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r>
      <w:tr w14:paraId="4B99D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20AC207D">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w:t>
            </w:r>
          </w:p>
        </w:tc>
        <w:tc>
          <w:tcPr>
            <w:tcW w:w="1249" w:type="dxa"/>
            <w:vAlign w:val="center"/>
          </w:tcPr>
          <w:p w14:paraId="503ACF4C">
            <w:pPr>
              <w:jc w:val="center"/>
              <w:rPr>
                <w:rFonts w:hint="default" w:eastAsia="宋体"/>
                <w:sz w:val="20"/>
                <w:szCs w:val="20"/>
                <w:lang w:val="en-US" w:eastAsia="zh-CN"/>
              </w:rPr>
            </w:pPr>
            <w:r>
              <w:rPr>
                <w:rFonts w:hint="eastAsia" w:eastAsia="宋体"/>
                <w:sz w:val="20"/>
                <w:szCs w:val="20"/>
                <w:lang w:val="en-US" w:eastAsia="zh-CN"/>
              </w:rPr>
              <w:t>王晓宇</w:t>
            </w:r>
          </w:p>
        </w:tc>
        <w:tc>
          <w:tcPr>
            <w:tcW w:w="3310" w:type="dxa"/>
            <w:vAlign w:val="center"/>
          </w:tcPr>
          <w:p w14:paraId="5733023B">
            <w:pPr>
              <w:jc w:val="center"/>
              <w:rPr>
                <w:rFonts w:hint="eastAsia" w:eastAsia="宋体"/>
                <w:sz w:val="20"/>
                <w:szCs w:val="20"/>
                <w:lang w:val="en-US" w:eastAsia="zh-CN"/>
              </w:rPr>
            </w:pPr>
            <w:r>
              <w:rPr>
                <w:rFonts w:hint="eastAsia" w:eastAsia="宋体"/>
                <w:sz w:val="20"/>
                <w:szCs w:val="20"/>
                <w:lang w:val="en-US" w:eastAsia="zh-CN"/>
              </w:rPr>
              <w:t>东南大学</w:t>
            </w:r>
          </w:p>
        </w:tc>
        <w:tc>
          <w:tcPr>
            <w:tcW w:w="3313" w:type="dxa"/>
            <w:vAlign w:val="center"/>
          </w:tcPr>
          <w:p w14:paraId="59AC0B52">
            <w:pPr>
              <w:jc w:val="center"/>
              <w:rPr>
                <w:rFonts w:hint="eastAsia" w:eastAsia="宋体"/>
                <w:sz w:val="20"/>
                <w:szCs w:val="20"/>
                <w:lang w:val="en-US" w:eastAsia="zh-CN"/>
              </w:rPr>
            </w:pPr>
            <w:r>
              <w:rPr>
                <w:rFonts w:hint="eastAsia" w:eastAsia="宋体"/>
                <w:sz w:val="20"/>
                <w:szCs w:val="20"/>
                <w:lang w:val="en-US" w:eastAsia="zh-CN"/>
              </w:rPr>
              <w:t>东南大学</w:t>
            </w:r>
          </w:p>
        </w:tc>
      </w:tr>
      <w:tr w14:paraId="40A6D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3AE499B7">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8</w:t>
            </w:r>
          </w:p>
        </w:tc>
        <w:tc>
          <w:tcPr>
            <w:tcW w:w="1249" w:type="dxa"/>
            <w:vAlign w:val="center"/>
          </w:tcPr>
          <w:p w14:paraId="0D841B69">
            <w:pPr>
              <w:jc w:val="center"/>
              <w:rPr>
                <w:rFonts w:hint="eastAsia" w:eastAsia="宋体"/>
                <w:sz w:val="20"/>
                <w:szCs w:val="20"/>
                <w:lang w:val="en-US" w:eastAsia="zh-CN"/>
              </w:rPr>
            </w:pPr>
            <w:r>
              <w:rPr>
                <w:rFonts w:hint="eastAsia" w:eastAsia="宋体"/>
                <w:sz w:val="20"/>
                <w:szCs w:val="20"/>
                <w:lang w:val="en-US" w:eastAsia="zh-CN"/>
              </w:rPr>
              <w:t>潘瑞</w:t>
            </w:r>
          </w:p>
        </w:tc>
        <w:tc>
          <w:tcPr>
            <w:tcW w:w="3310" w:type="dxa"/>
            <w:vAlign w:val="center"/>
          </w:tcPr>
          <w:p w14:paraId="61C91A5F">
            <w:pPr>
              <w:jc w:val="center"/>
              <w:rPr>
                <w:rFonts w:hint="eastAsia" w:eastAsia="宋体"/>
                <w:sz w:val="20"/>
                <w:szCs w:val="20"/>
                <w:lang w:val="en-US" w:eastAsia="zh-CN"/>
              </w:rPr>
            </w:pPr>
            <w:r>
              <w:rPr>
                <w:rFonts w:hint="eastAsia" w:eastAsia="宋体"/>
                <w:sz w:val="20"/>
                <w:szCs w:val="20"/>
                <w:lang w:val="en-US" w:eastAsia="zh-CN"/>
              </w:rPr>
              <w:t>北京工业大学</w:t>
            </w:r>
          </w:p>
        </w:tc>
        <w:tc>
          <w:tcPr>
            <w:tcW w:w="3313" w:type="dxa"/>
            <w:vAlign w:val="center"/>
          </w:tcPr>
          <w:p w14:paraId="215AAD51">
            <w:pPr>
              <w:jc w:val="center"/>
              <w:rPr>
                <w:rFonts w:hint="eastAsia" w:eastAsia="宋体"/>
                <w:sz w:val="20"/>
                <w:szCs w:val="20"/>
                <w:lang w:val="en-US" w:eastAsia="zh-CN"/>
              </w:rPr>
            </w:pPr>
            <w:r>
              <w:rPr>
                <w:rFonts w:hint="eastAsia" w:eastAsia="宋体"/>
                <w:sz w:val="20"/>
                <w:szCs w:val="20"/>
                <w:lang w:val="en-US" w:eastAsia="zh-CN"/>
              </w:rPr>
              <w:t>北京工业大学</w:t>
            </w:r>
          </w:p>
        </w:tc>
      </w:tr>
      <w:tr w14:paraId="44782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3BEA2CA5">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9</w:t>
            </w:r>
          </w:p>
        </w:tc>
        <w:tc>
          <w:tcPr>
            <w:tcW w:w="1249" w:type="dxa"/>
            <w:vAlign w:val="center"/>
          </w:tcPr>
          <w:p w14:paraId="776592C4">
            <w:pPr>
              <w:jc w:val="center"/>
              <w:rPr>
                <w:rFonts w:hint="eastAsia" w:eastAsia="宋体"/>
                <w:sz w:val="20"/>
                <w:szCs w:val="20"/>
                <w:lang w:val="en-US" w:eastAsia="zh-CN"/>
              </w:rPr>
            </w:pPr>
            <w:r>
              <w:rPr>
                <w:rFonts w:hint="eastAsia" w:eastAsia="宋体"/>
                <w:sz w:val="20"/>
                <w:szCs w:val="20"/>
                <w:lang w:val="en-US" w:eastAsia="zh-CN"/>
              </w:rPr>
              <w:t>黄勇</w:t>
            </w:r>
          </w:p>
        </w:tc>
        <w:tc>
          <w:tcPr>
            <w:tcW w:w="3310" w:type="dxa"/>
            <w:vAlign w:val="center"/>
          </w:tcPr>
          <w:p w14:paraId="2A4A11E0">
            <w:pPr>
              <w:jc w:val="center"/>
              <w:rPr>
                <w:rFonts w:hint="eastAsia" w:eastAsia="宋体"/>
                <w:sz w:val="20"/>
                <w:szCs w:val="20"/>
                <w:lang w:val="en-US" w:eastAsia="zh-CN"/>
              </w:rPr>
            </w:pPr>
            <w:r>
              <w:rPr>
                <w:rFonts w:hint="eastAsia" w:eastAsia="宋体"/>
                <w:sz w:val="20"/>
                <w:szCs w:val="20"/>
                <w:lang w:val="en-US" w:eastAsia="zh-CN"/>
              </w:rPr>
              <w:t>南京理工大学</w:t>
            </w:r>
          </w:p>
        </w:tc>
        <w:tc>
          <w:tcPr>
            <w:tcW w:w="3313" w:type="dxa"/>
            <w:vAlign w:val="center"/>
          </w:tcPr>
          <w:p w14:paraId="01ED2114">
            <w:pPr>
              <w:jc w:val="center"/>
              <w:rPr>
                <w:rFonts w:hint="eastAsia" w:eastAsia="宋体"/>
                <w:sz w:val="20"/>
                <w:szCs w:val="20"/>
                <w:lang w:val="en-US" w:eastAsia="zh-CN"/>
              </w:rPr>
            </w:pPr>
            <w:r>
              <w:rPr>
                <w:rFonts w:hint="eastAsia" w:eastAsia="宋体"/>
                <w:sz w:val="20"/>
                <w:szCs w:val="20"/>
                <w:lang w:val="en-US" w:eastAsia="zh-CN"/>
              </w:rPr>
              <w:t>南京理工大学</w:t>
            </w:r>
          </w:p>
        </w:tc>
      </w:tr>
      <w:tr w14:paraId="300AE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16452460">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10</w:t>
            </w:r>
          </w:p>
        </w:tc>
        <w:tc>
          <w:tcPr>
            <w:tcW w:w="1249" w:type="dxa"/>
            <w:vAlign w:val="center"/>
          </w:tcPr>
          <w:p w14:paraId="470B84F6">
            <w:pPr>
              <w:jc w:val="center"/>
              <w:rPr>
                <w:rFonts w:hint="eastAsia" w:eastAsia="宋体"/>
                <w:sz w:val="20"/>
                <w:szCs w:val="20"/>
                <w:lang w:val="en-US" w:eastAsia="zh-CN"/>
              </w:rPr>
            </w:pPr>
            <w:r>
              <w:rPr>
                <w:rFonts w:hint="eastAsia" w:eastAsia="宋体"/>
                <w:sz w:val="20"/>
                <w:szCs w:val="20"/>
                <w:lang w:val="en-US" w:eastAsia="zh-CN"/>
              </w:rPr>
              <w:t>张国凯</w:t>
            </w:r>
          </w:p>
        </w:tc>
        <w:tc>
          <w:tcPr>
            <w:tcW w:w="3310" w:type="dxa"/>
            <w:vAlign w:val="center"/>
          </w:tcPr>
          <w:p w14:paraId="71C2B258">
            <w:pPr>
              <w:jc w:val="center"/>
              <w:rPr>
                <w:rFonts w:hint="eastAsia" w:eastAsia="宋体"/>
                <w:sz w:val="20"/>
                <w:szCs w:val="20"/>
                <w:lang w:val="en-US" w:eastAsia="zh-CN"/>
              </w:rPr>
            </w:pPr>
            <w:r>
              <w:rPr>
                <w:rFonts w:hint="eastAsia" w:eastAsia="宋体"/>
                <w:sz w:val="20"/>
                <w:szCs w:val="20"/>
                <w:lang w:val="en-US" w:eastAsia="zh-CN"/>
              </w:rPr>
              <w:t>北京工业大学</w:t>
            </w:r>
          </w:p>
        </w:tc>
        <w:tc>
          <w:tcPr>
            <w:tcW w:w="3313" w:type="dxa"/>
            <w:vAlign w:val="center"/>
          </w:tcPr>
          <w:p w14:paraId="1BBC92AB">
            <w:pPr>
              <w:jc w:val="center"/>
              <w:rPr>
                <w:rFonts w:hint="eastAsia" w:eastAsia="宋体"/>
                <w:sz w:val="20"/>
                <w:szCs w:val="20"/>
                <w:lang w:val="en-US" w:eastAsia="zh-CN"/>
              </w:rPr>
            </w:pPr>
            <w:r>
              <w:rPr>
                <w:rFonts w:hint="eastAsia" w:eastAsia="宋体"/>
                <w:sz w:val="20"/>
                <w:szCs w:val="20"/>
                <w:lang w:val="en-US" w:eastAsia="zh-CN"/>
              </w:rPr>
              <w:t>北京工业大学</w:t>
            </w:r>
          </w:p>
        </w:tc>
      </w:tr>
      <w:tr w14:paraId="2012B7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3FAE26AE">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11</w:t>
            </w:r>
          </w:p>
        </w:tc>
        <w:tc>
          <w:tcPr>
            <w:tcW w:w="1249" w:type="dxa"/>
            <w:vAlign w:val="center"/>
          </w:tcPr>
          <w:p w14:paraId="57B52F22">
            <w:pPr>
              <w:jc w:val="center"/>
              <w:rPr>
                <w:rFonts w:hint="eastAsia" w:eastAsia="宋体"/>
                <w:sz w:val="20"/>
                <w:szCs w:val="20"/>
                <w:lang w:val="en-US" w:eastAsia="zh-CN"/>
              </w:rPr>
            </w:pPr>
            <w:r>
              <w:rPr>
                <w:rFonts w:hint="eastAsia" w:eastAsia="宋体"/>
                <w:sz w:val="20"/>
                <w:szCs w:val="20"/>
                <w:lang w:val="en-US" w:eastAsia="zh-CN"/>
              </w:rPr>
              <w:t>郑士涛</w:t>
            </w:r>
          </w:p>
        </w:tc>
        <w:tc>
          <w:tcPr>
            <w:tcW w:w="3310" w:type="dxa"/>
            <w:vAlign w:val="center"/>
          </w:tcPr>
          <w:p w14:paraId="7A015722">
            <w:pPr>
              <w:jc w:val="center"/>
              <w:rPr>
                <w:rFonts w:hint="eastAsia" w:ascii="仿宋_GB2312" w:eastAsia="仿宋_GB2312"/>
                <w:sz w:val="28"/>
                <w:szCs w:val="28"/>
              </w:rPr>
            </w:pPr>
            <w:r>
              <w:rPr>
                <w:rFonts w:hint="eastAsia" w:eastAsia="宋体"/>
                <w:sz w:val="20"/>
                <w:szCs w:val="20"/>
                <w:lang w:val="en-US" w:eastAsia="zh-CN"/>
              </w:rPr>
              <w:t>山东泰开高压开关有限公司</w:t>
            </w:r>
          </w:p>
        </w:tc>
        <w:tc>
          <w:tcPr>
            <w:tcW w:w="3313" w:type="dxa"/>
            <w:vAlign w:val="center"/>
          </w:tcPr>
          <w:p w14:paraId="69544977">
            <w:pPr>
              <w:jc w:val="center"/>
              <w:rPr>
                <w:rFonts w:hint="eastAsia" w:ascii="仿宋_GB2312" w:eastAsia="仿宋_GB2312"/>
                <w:sz w:val="28"/>
                <w:szCs w:val="28"/>
              </w:rPr>
            </w:pPr>
            <w:r>
              <w:rPr>
                <w:rFonts w:hint="eastAsia" w:eastAsia="宋体"/>
                <w:sz w:val="20"/>
                <w:szCs w:val="20"/>
                <w:lang w:val="en-US" w:eastAsia="zh-CN"/>
              </w:rPr>
              <w:t>山东泰开高压开关有限公司</w:t>
            </w:r>
          </w:p>
        </w:tc>
      </w:tr>
      <w:tr w14:paraId="28A03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26C7E0C3">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12</w:t>
            </w:r>
          </w:p>
        </w:tc>
        <w:tc>
          <w:tcPr>
            <w:tcW w:w="1249" w:type="dxa"/>
            <w:vAlign w:val="center"/>
          </w:tcPr>
          <w:p w14:paraId="2336F531">
            <w:pPr>
              <w:jc w:val="center"/>
              <w:rPr>
                <w:rFonts w:hint="eastAsia" w:eastAsia="宋体"/>
                <w:sz w:val="20"/>
                <w:szCs w:val="20"/>
                <w:lang w:val="en-US" w:eastAsia="zh-CN"/>
              </w:rPr>
            </w:pPr>
            <w:r>
              <w:rPr>
                <w:rFonts w:hint="eastAsia" w:eastAsia="宋体"/>
                <w:sz w:val="20"/>
                <w:szCs w:val="20"/>
                <w:lang w:val="en-US" w:eastAsia="zh-CN"/>
              </w:rPr>
              <w:t>宫瑞磊</w:t>
            </w:r>
          </w:p>
        </w:tc>
        <w:tc>
          <w:tcPr>
            <w:tcW w:w="3310" w:type="dxa"/>
            <w:vAlign w:val="center"/>
          </w:tcPr>
          <w:p w14:paraId="7ACFBEF8">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c>
          <w:tcPr>
            <w:tcW w:w="3313" w:type="dxa"/>
            <w:vAlign w:val="center"/>
          </w:tcPr>
          <w:p w14:paraId="19DC30BB">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r>
      <w:tr w14:paraId="58A07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3F4F6D1A">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w:t>
            </w:r>
          </w:p>
        </w:tc>
        <w:tc>
          <w:tcPr>
            <w:tcW w:w="1249" w:type="dxa"/>
            <w:vAlign w:val="center"/>
          </w:tcPr>
          <w:p w14:paraId="442406BF">
            <w:pPr>
              <w:jc w:val="center"/>
              <w:rPr>
                <w:rFonts w:hint="eastAsia" w:eastAsia="宋体"/>
                <w:sz w:val="20"/>
                <w:szCs w:val="20"/>
                <w:lang w:val="en-US" w:eastAsia="zh-CN"/>
              </w:rPr>
            </w:pPr>
            <w:r>
              <w:rPr>
                <w:rFonts w:hint="eastAsia" w:eastAsia="宋体"/>
                <w:sz w:val="20"/>
                <w:szCs w:val="20"/>
                <w:lang w:val="en-US" w:eastAsia="zh-CN"/>
              </w:rPr>
              <w:t>严海波</w:t>
            </w:r>
          </w:p>
        </w:tc>
        <w:tc>
          <w:tcPr>
            <w:tcW w:w="3310" w:type="dxa"/>
            <w:vAlign w:val="center"/>
          </w:tcPr>
          <w:p w14:paraId="1FA828D0">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c>
          <w:tcPr>
            <w:tcW w:w="3313" w:type="dxa"/>
            <w:vAlign w:val="center"/>
          </w:tcPr>
          <w:p w14:paraId="4E1F2E9E">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r>
      <w:tr w14:paraId="7CB76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0BEA53BA">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14</w:t>
            </w:r>
          </w:p>
        </w:tc>
        <w:tc>
          <w:tcPr>
            <w:tcW w:w="1249" w:type="dxa"/>
            <w:vAlign w:val="center"/>
          </w:tcPr>
          <w:p w14:paraId="0F04820D">
            <w:pPr>
              <w:jc w:val="center"/>
              <w:rPr>
                <w:rFonts w:hint="eastAsia" w:eastAsia="宋体"/>
                <w:sz w:val="20"/>
                <w:szCs w:val="20"/>
                <w:lang w:val="en-US" w:eastAsia="zh-CN"/>
              </w:rPr>
            </w:pPr>
            <w:r>
              <w:rPr>
                <w:rFonts w:hint="eastAsia" w:eastAsia="宋体"/>
                <w:sz w:val="20"/>
                <w:szCs w:val="20"/>
                <w:lang w:val="en-US" w:eastAsia="zh-CN"/>
              </w:rPr>
              <w:t>李文龙</w:t>
            </w:r>
          </w:p>
        </w:tc>
        <w:tc>
          <w:tcPr>
            <w:tcW w:w="3310" w:type="dxa"/>
            <w:vAlign w:val="center"/>
          </w:tcPr>
          <w:p w14:paraId="287F5D8A">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c>
          <w:tcPr>
            <w:tcW w:w="3313" w:type="dxa"/>
            <w:vAlign w:val="center"/>
          </w:tcPr>
          <w:p w14:paraId="375713A3">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r>
      <w:tr w14:paraId="5A12F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14:paraId="4F7985CA">
            <w:pPr>
              <w:spacing w:before="203" w:line="240" w:lineRule="auto"/>
              <w:ind w:left="282"/>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15</w:t>
            </w:r>
          </w:p>
        </w:tc>
        <w:tc>
          <w:tcPr>
            <w:tcW w:w="1249" w:type="dxa"/>
            <w:vAlign w:val="center"/>
          </w:tcPr>
          <w:p w14:paraId="0E931961">
            <w:pPr>
              <w:jc w:val="center"/>
              <w:rPr>
                <w:rFonts w:hint="eastAsia" w:eastAsia="宋体"/>
                <w:sz w:val="20"/>
                <w:szCs w:val="20"/>
                <w:lang w:val="en-US" w:eastAsia="zh-CN"/>
              </w:rPr>
            </w:pPr>
            <w:r>
              <w:rPr>
                <w:rFonts w:hint="eastAsia" w:eastAsia="宋体"/>
                <w:sz w:val="20"/>
                <w:szCs w:val="20"/>
                <w:lang w:val="en-US" w:eastAsia="zh-CN"/>
              </w:rPr>
              <w:t>解克佳</w:t>
            </w:r>
          </w:p>
        </w:tc>
        <w:tc>
          <w:tcPr>
            <w:tcW w:w="3310" w:type="dxa"/>
            <w:vAlign w:val="center"/>
          </w:tcPr>
          <w:p w14:paraId="61D97488">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c>
          <w:tcPr>
            <w:tcW w:w="3313" w:type="dxa"/>
            <w:vAlign w:val="center"/>
          </w:tcPr>
          <w:p w14:paraId="11717500">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14:paraId="10B9FBC9">
            <w:pPr>
              <w:pStyle w:val="10"/>
              <w:spacing w:before="146" w:line="240" w:lineRule="auto"/>
              <w:ind w:left="3643"/>
              <w:rPr>
                <w:sz w:val="20"/>
                <w:szCs w:val="20"/>
              </w:rPr>
            </w:pPr>
            <w:r>
              <w:rPr>
                <w:spacing w:val="7"/>
                <w:sz w:val="20"/>
                <w:szCs w:val="20"/>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AC70278">
            <w:pPr>
              <w:pStyle w:val="10"/>
              <w:spacing w:before="35" w:line="240" w:lineRule="auto"/>
              <w:ind w:left="126"/>
              <w:rPr>
                <w:sz w:val="20"/>
                <w:szCs w:val="20"/>
              </w:rPr>
            </w:pPr>
            <w:r>
              <w:rPr>
                <w:spacing w:val="4"/>
                <w:sz w:val="20"/>
                <w:szCs w:val="20"/>
              </w:rPr>
              <w:t>排名</w:t>
            </w:r>
          </w:p>
        </w:tc>
        <w:tc>
          <w:tcPr>
            <w:tcW w:w="7872" w:type="dxa"/>
            <w:gridSpan w:val="3"/>
            <w:vAlign w:val="top"/>
          </w:tcPr>
          <w:p w14:paraId="48B7D098">
            <w:pPr>
              <w:pStyle w:val="10"/>
              <w:spacing w:before="35" w:line="240" w:lineRule="auto"/>
              <w:ind w:left="3521"/>
              <w:rPr>
                <w:sz w:val="20"/>
                <w:szCs w:val="20"/>
              </w:rPr>
            </w:pPr>
            <w:r>
              <w:rPr>
                <w:spacing w:val="6"/>
                <w:sz w:val="20"/>
                <w:szCs w:val="20"/>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32FED463">
            <w:pPr>
              <w:spacing w:before="70"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7872" w:type="dxa"/>
            <w:gridSpan w:val="3"/>
            <w:vAlign w:val="top"/>
          </w:tcPr>
          <w:p w14:paraId="77CF4984">
            <w:pPr>
              <w:jc w:val="center"/>
              <w:rPr>
                <w:rFonts w:hint="eastAsia" w:eastAsia="宋体"/>
                <w:sz w:val="20"/>
                <w:szCs w:val="20"/>
                <w:lang w:val="en-US" w:eastAsia="zh-CN"/>
              </w:rPr>
            </w:pPr>
            <w:r>
              <w:rPr>
                <w:rFonts w:hint="eastAsia" w:eastAsia="宋体"/>
                <w:sz w:val="20"/>
                <w:szCs w:val="20"/>
                <w:lang w:val="en-US" w:eastAsia="zh-CN"/>
              </w:rPr>
              <w:t>山东泰开高压开关有限公司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E4B2617">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7872" w:type="dxa"/>
            <w:gridSpan w:val="3"/>
            <w:vAlign w:val="top"/>
          </w:tcPr>
          <w:p w14:paraId="6E8B0AD1">
            <w:pPr>
              <w:jc w:val="center"/>
              <w:rPr>
                <w:rFonts w:hint="eastAsia" w:eastAsia="宋体"/>
                <w:sz w:val="20"/>
                <w:szCs w:val="20"/>
                <w:lang w:val="en-US" w:eastAsia="zh-CN"/>
              </w:rPr>
            </w:pPr>
            <w:r>
              <w:rPr>
                <w:rFonts w:hint="eastAsia" w:eastAsia="宋体"/>
                <w:sz w:val="20"/>
                <w:szCs w:val="20"/>
                <w:lang w:val="en-US" w:eastAsia="zh-CN"/>
              </w:rPr>
              <w:t>北京工业大学</w:t>
            </w:r>
          </w:p>
        </w:tc>
      </w:tr>
      <w:tr w14:paraId="33B39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0559CB78">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w:t>
            </w:r>
          </w:p>
        </w:tc>
        <w:tc>
          <w:tcPr>
            <w:tcW w:w="7872" w:type="dxa"/>
            <w:gridSpan w:val="3"/>
            <w:vAlign w:val="top"/>
          </w:tcPr>
          <w:p w14:paraId="49116D51">
            <w:pPr>
              <w:jc w:val="center"/>
              <w:rPr>
                <w:rFonts w:hint="eastAsia" w:eastAsia="宋体"/>
                <w:sz w:val="20"/>
                <w:szCs w:val="20"/>
                <w:lang w:val="en-US" w:eastAsia="zh-CN"/>
              </w:rPr>
            </w:pPr>
            <w:r>
              <w:rPr>
                <w:rFonts w:hint="eastAsia" w:eastAsia="宋体"/>
                <w:sz w:val="20"/>
                <w:szCs w:val="20"/>
                <w:lang w:val="en-US" w:eastAsia="zh-CN"/>
              </w:rPr>
              <w:t>山东省科学院激光研究所</w:t>
            </w:r>
          </w:p>
        </w:tc>
      </w:tr>
      <w:tr w14:paraId="4FF27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044A274">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7872" w:type="dxa"/>
            <w:gridSpan w:val="3"/>
            <w:vAlign w:val="top"/>
          </w:tcPr>
          <w:p w14:paraId="07788B85">
            <w:pPr>
              <w:jc w:val="center"/>
              <w:rPr>
                <w:rFonts w:hint="eastAsia" w:eastAsia="宋体"/>
                <w:sz w:val="20"/>
                <w:szCs w:val="20"/>
                <w:lang w:val="en-US" w:eastAsia="zh-CN"/>
              </w:rPr>
            </w:pPr>
            <w:r>
              <w:rPr>
                <w:rFonts w:hint="eastAsia" w:eastAsia="宋体"/>
                <w:sz w:val="20"/>
                <w:szCs w:val="20"/>
                <w:lang w:val="en-US" w:eastAsia="zh-CN"/>
              </w:rPr>
              <w:t>东南大学</w:t>
            </w:r>
          </w:p>
        </w:tc>
      </w:tr>
      <w:tr w14:paraId="448E4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5A108868">
            <w:pP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5</w:t>
            </w:r>
          </w:p>
        </w:tc>
        <w:tc>
          <w:tcPr>
            <w:tcW w:w="7872" w:type="dxa"/>
            <w:gridSpan w:val="3"/>
            <w:vAlign w:val="top"/>
          </w:tcPr>
          <w:p w14:paraId="23F7E141">
            <w:pPr>
              <w:jc w:val="center"/>
              <w:rPr>
                <w:rFonts w:hint="eastAsia" w:eastAsia="宋体"/>
                <w:sz w:val="20"/>
                <w:szCs w:val="20"/>
                <w:lang w:val="en-US" w:eastAsia="zh-CN"/>
              </w:rPr>
            </w:pPr>
            <w:r>
              <w:rPr>
                <w:rFonts w:hint="eastAsia" w:eastAsia="宋体"/>
                <w:sz w:val="20"/>
                <w:szCs w:val="20"/>
                <w:lang w:val="en-US" w:eastAsia="zh-CN"/>
              </w:rPr>
              <w:t>南京理工大学</w:t>
            </w:r>
          </w:p>
        </w:tc>
      </w:tr>
    </w:tbl>
    <w:p w14:paraId="3880673A">
      <w:pPr>
        <w:spacing w:line="240" w:lineRule="auto"/>
        <w:rPr>
          <w:rFonts w:ascii="Arial"/>
          <w:sz w:val="21"/>
        </w:rPr>
      </w:pPr>
      <w:bookmarkStart w:id="1" w:name="_GoBack"/>
      <w:bookmarkEnd w:id="1"/>
    </w:p>
    <w:sectPr>
      <w:footerReference r:id="rId5" w:type="default"/>
      <w:pgSz w:w="11906" w:h="16839"/>
      <w:pgMar w:top="1174" w:right="1684" w:bottom="1157" w:left="1684" w:header="0" w:footer="1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83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D674AA"/>
    <w:multiLevelType w:val="singleLevel"/>
    <w:tmpl w:val="A3D674AA"/>
    <w:lvl w:ilvl="0" w:tentative="0">
      <w:start w:val="1"/>
      <w:numFmt w:val="decimal"/>
      <w:lvlText w:val="%1"/>
      <w:lvlJc w:val="left"/>
      <w:pPr>
        <w:tabs>
          <w:tab w:val="left" w:pos="397"/>
        </w:tabs>
        <w:ind w:left="454" w:leftChars="0" w:hanging="454"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9B24B4"/>
    <w:rsid w:val="0CCB047F"/>
    <w:rsid w:val="10973B61"/>
    <w:rsid w:val="12B40728"/>
    <w:rsid w:val="160C3C6F"/>
    <w:rsid w:val="194A5C14"/>
    <w:rsid w:val="1B926E6E"/>
    <w:rsid w:val="1BD528D3"/>
    <w:rsid w:val="21C84A65"/>
    <w:rsid w:val="23C6058D"/>
    <w:rsid w:val="284B2378"/>
    <w:rsid w:val="2ECB6A58"/>
    <w:rsid w:val="340A6274"/>
    <w:rsid w:val="360D0208"/>
    <w:rsid w:val="381902C4"/>
    <w:rsid w:val="3BE04BEB"/>
    <w:rsid w:val="43A7763B"/>
    <w:rsid w:val="47C14A44"/>
    <w:rsid w:val="49033566"/>
    <w:rsid w:val="4C7D71E6"/>
    <w:rsid w:val="53BF59F0"/>
    <w:rsid w:val="56135281"/>
    <w:rsid w:val="61F03972"/>
    <w:rsid w:val="70904746"/>
    <w:rsid w:val="78D06865"/>
    <w:rsid w:val="7CA979E5"/>
    <w:rsid w:val="7EAE3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Plain Text"/>
    <w:basedOn w:val="1"/>
    <w:qFormat/>
    <w:uiPriority w:val="0"/>
    <w:pPr>
      <w:spacing w:line="360" w:lineRule="auto"/>
      <w:ind w:firstLine="480" w:firstLineChars="200"/>
    </w:pPr>
    <w:rPr>
      <w:rFonts w:ascii="仿宋_GB2312"/>
      <w:sz w:val="24"/>
      <w:szCs w:val="20"/>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87e12-db15-472b-b7b6-271ff6d3f3fa}">
  <ds:schemaRefs/>
</ds:datastoreItem>
</file>

<file path=docProps/app.xml><?xml version="1.0" encoding="utf-8"?>
<Properties xmlns="http://schemas.openxmlformats.org/officeDocument/2006/extended-properties" xmlns:vt="http://schemas.openxmlformats.org/officeDocument/2006/docPropsVTypes">
  <Pages>4</Pages>
  <Words>198</Words>
  <Characters>216</Characters>
  <TotalTime>0</TotalTime>
  <ScaleCrop>false</ScaleCrop>
  <LinksUpToDate>false</LinksUpToDate>
  <CharactersWithSpaces>222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2025-04-01T11:14:00Z</dcterms:created>
  <dc:creator>LIUFANGFANG</dc:creator>
  <cp:lastModifiedBy>gygs</cp:lastModifiedBy>
  <dcterms:modified xsi:type="dcterms:W3CDTF">2026-07-17T02:12:29Z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eyJoZGlkIjoiODRjMzMzN2JmODQ0ZDY2ODJiMTNlMWYxZTcyMzIyYTMiLCJ1c2VySWQiOiIzNzA0MDQ0MjgifQ==</vt:lpwstr>
  </property>
  <property fmtid="{D5CDD505-2E9C-101B-9397-08002B2CF9AE}" pid="5" name="KSOProductBuildVer">
    <vt:lpwstr>2052-12.1.0.26895</vt:lpwstr>
  </property>
  <property fmtid="{D5CDD505-2E9C-101B-9397-08002B2CF9AE}" pid="6" name="ICV">
    <vt:lpwstr>E138F1302E6541739E94E154291B9C39_13</vt:lpwstr>
  </property>
</Properties>
</file>