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6B06C">
      <w:pPr>
        <w:spacing w:before="87" w:line="240" w:lineRule="auto"/>
        <w:ind w:left="1112"/>
        <w:outlineLvl w:val="0"/>
        <w:rPr>
          <w:rFonts w:hint="default" w:ascii="Times New Roman" w:hAnsi="Times New Roman" w:eastAsia="宋体" w:cs="Times New Roman"/>
          <w:sz w:val="43"/>
          <w:szCs w:val="43"/>
        </w:rPr>
      </w:pPr>
      <w:r>
        <w:rPr>
          <w:rFonts w:hint="default" w:ascii="Times New Roman" w:hAnsi="Times New Roman" w:eastAsia="宋体" w:cs="Times New Roman"/>
          <w:b/>
          <w:bCs/>
          <w:spacing w:val="3"/>
          <w:sz w:val="43"/>
          <w:szCs w:val="43"/>
        </w:rPr>
        <w:t>山东省科学技术进步奖提名公示</w:t>
      </w:r>
    </w:p>
    <w:p w14:paraId="0DF01CA5">
      <w:pPr>
        <w:spacing w:line="240" w:lineRule="auto"/>
        <w:rPr>
          <w:rFonts w:hint="default" w:ascii="Times New Roman" w:hAnsi="Times New Roman" w:cs="Times New Roman"/>
          <w:sz w:val="21"/>
        </w:rPr>
      </w:pPr>
    </w:p>
    <w:p w14:paraId="6A35C8CF">
      <w:pPr>
        <w:keepNext w:val="0"/>
        <w:keepLines w:val="0"/>
        <w:pageBreakBefore w:val="0"/>
        <w:widowControl/>
        <w:kinsoku w:val="0"/>
        <w:wordWrap/>
        <w:overflowPunct/>
        <w:topLinePunct w:val="0"/>
        <w:autoSpaceDE w:val="0"/>
        <w:autoSpaceDN w:val="0"/>
        <w:bidi w:val="0"/>
        <w:adjustRightInd w:val="0"/>
        <w:snapToGrid w:val="0"/>
        <w:spacing w:line="480" w:lineRule="exact"/>
        <w:ind w:left="667"/>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pacing w:val="7"/>
          <w:sz w:val="32"/>
          <w:szCs w:val="32"/>
        </w:rPr>
        <w:t>一、项目名称</w:t>
      </w:r>
    </w:p>
    <w:p w14:paraId="20DDA73D">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eastAsia="仿宋" w:cs="Times New Roman"/>
          <w:spacing w:val="9"/>
          <w:sz w:val="32"/>
          <w:szCs w:val="32"/>
          <w:lang w:val="en-US" w:eastAsia="zh-CN"/>
        </w:rPr>
      </w:pPr>
      <w:r>
        <w:rPr>
          <w:rFonts w:hint="default" w:ascii="Times New Roman" w:hAnsi="Times New Roman" w:cs="Times New Roman"/>
          <w:spacing w:val="9"/>
          <w:sz w:val="32"/>
          <w:szCs w:val="32"/>
          <w:lang w:val="en-US" w:eastAsia="zh-CN"/>
        </w:rPr>
        <w:t>吸入气雾剂原料与制剂关键制备技术体系构建与国产化替代</w:t>
      </w:r>
    </w:p>
    <w:p w14:paraId="1B6855F5">
      <w:pPr>
        <w:keepNext w:val="0"/>
        <w:keepLines w:val="0"/>
        <w:pageBreakBefore w:val="0"/>
        <w:widowControl/>
        <w:kinsoku w:val="0"/>
        <w:wordWrap/>
        <w:overflowPunct/>
        <w:topLinePunct w:val="0"/>
        <w:autoSpaceDE w:val="0"/>
        <w:autoSpaceDN w:val="0"/>
        <w:bidi w:val="0"/>
        <w:adjustRightInd w:val="0"/>
        <w:snapToGrid w:val="0"/>
        <w:spacing w:line="480" w:lineRule="exact"/>
        <w:ind w:left="667"/>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pacing w:val="8"/>
          <w:sz w:val="32"/>
          <w:szCs w:val="32"/>
        </w:rPr>
        <w:t>二、提名者及提名意见</w:t>
      </w:r>
    </w:p>
    <w:p w14:paraId="7C3762D7">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659"/>
        <w:textAlignment w:val="baseline"/>
        <w:rPr>
          <w:rFonts w:hint="default" w:ascii="Times New Roman" w:hAnsi="Times New Roman" w:cs="Times New Roman"/>
          <w:sz w:val="32"/>
          <w:szCs w:val="32"/>
        </w:rPr>
      </w:pPr>
      <w:r>
        <w:rPr>
          <w:rFonts w:hint="default" w:ascii="Times New Roman" w:hAnsi="Times New Roman" w:cs="Times New Roman"/>
          <w:b/>
          <w:bCs/>
          <w:spacing w:val="8"/>
          <w:sz w:val="32"/>
          <w:szCs w:val="32"/>
        </w:rPr>
        <w:t>提名者：</w:t>
      </w:r>
      <w:r>
        <w:rPr>
          <w:rFonts w:hint="default" w:ascii="Times New Roman" w:hAnsi="Times New Roman" w:cs="Times New Roman"/>
          <w:spacing w:val="8"/>
          <w:sz w:val="32"/>
          <w:szCs w:val="32"/>
        </w:rPr>
        <w:t>泰安市科学技术局</w:t>
      </w:r>
    </w:p>
    <w:p w14:paraId="75CB983C">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659"/>
        <w:textAlignment w:val="baseline"/>
        <w:rPr>
          <w:rFonts w:hint="default" w:ascii="Times New Roman" w:hAnsi="Times New Roman" w:cs="Times New Roman"/>
          <w:sz w:val="32"/>
          <w:szCs w:val="32"/>
        </w:rPr>
      </w:pPr>
      <w:r>
        <w:rPr>
          <w:rFonts w:hint="default" w:ascii="Times New Roman" w:hAnsi="Times New Roman" w:cs="Times New Roman"/>
          <w:b/>
          <w:bCs/>
          <w:spacing w:val="3"/>
          <w:sz w:val="32"/>
          <w:szCs w:val="32"/>
        </w:rPr>
        <w:t>提名意见：</w:t>
      </w:r>
    </w:p>
    <w:p w14:paraId="555E5440">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cs="Times New Roman"/>
          <w:spacing w:val="9"/>
          <w:sz w:val="32"/>
          <w:szCs w:val="32"/>
          <w:lang w:val="en-US" w:eastAsia="zh-CN"/>
        </w:rPr>
      </w:pPr>
      <w:r>
        <w:rPr>
          <w:rFonts w:hint="eastAsia" w:ascii="Times New Roman" w:hAnsi="Times New Roman" w:cs="Times New Roman"/>
          <w:spacing w:val="9"/>
          <w:sz w:val="32"/>
          <w:szCs w:val="32"/>
          <w:lang w:val="en-US" w:eastAsia="zh-CN"/>
        </w:rPr>
        <w:t>该</w:t>
      </w:r>
      <w:r>
        <w:rPr>
          <w:rFonts w:hint="default" w:ascii="Times New Roman" w:hAnsi="Times New Roman" w:cs="Times New Roman"/>
          <w:spacing w:val="9"/>
          <w:sz w:val="32"/>
          <w:szCs w:val="32"/>
          <w:lang w:val="en-US" w:eastAsia="zh-CN"/>
        </w:rPr>
        <w:t>项目针对吸入气雾剂原料药工艺繁琐、处方被国外封锁、质控标准缺失等技术瓶颈，创新绿色原料药制备、高稳定性处方及精准给药装置等关键技术，突破专利壁垒与质量标准难题，构建医药产品高效制备与质控关键技术体系。完成创新如下：</w:t>
      </w:r>
    </w:p>
    <w:p w14:paraId="358886E3">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cs="Times New Roman"/>
          <w:spacing w:val="9"/>
          <w:sz w:val="32"/>
          <w:szCs w:val="32"/>
          <w:lang w:val="en-US" w:eastAsia="zh-CN"/>
        </w:rPr>
      </w:pPr>
      <w:r>
        <w:rPr>
          <w:rFonts w:hint="default" w:ascii="Times New Roman" w:hAnsi="Times New Roman" w:cs="Times New Roman"/>
          <w:spacing w:val="9"/>
          <w:sz w:val="32"/>
          <w:szCs w:val="32"/>
          <w:lang w:val="en-US" w:eastAsia="zh-CN"/>
        </w:rPr>
        <w:t>开发了基于过程强化技术的丙酸倍氯米松等原料药及关键中间体绿色化制备工艺，解决了原工艺过程繁琐、杂质含量高、粉体指标差等难题，实现了特色糖皮质激素原料药的高效低成本稳定规模化制备。</w:t>
      </w:r>
    </w:p>
    <w:p w14:paraId="6C431BD6">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cs="Times New Roman"/>
          <w:spacing w:val="9"/>
          <w:sz w:val="32"/>
          <w:szCs w:val="32"/>
          <w:lang w:val="en-US" w:eastAsia="zh-CN"/>
        </w:rPr>
      </w:pPr>
      <w:r>
        <w:rPr>
          <w:rFonts w:hint="default" w:ascii="Times New Roman" w:hAnsi="Times New Roman" w:cs="Times New Roman"/>
          <w:spacing w:val="9"/>
          <w:sz w:val="32"/>
          <w:szCs w:val="32"/>
          <w:lang w:val="en-US" w:eastAsia="zh-CN"/>
        </w:rPr>
        <w:t>发明了</w:t>
      </w:r>
      <w:bookmarkStart w:id="0" w:name="_Hlk187696952"/>
      <w:r>
        <w:rPr>
          <w:rFonts w:hint="default" w:ascii="Times New Roman" w:hAnsi="Times New Roman" w:cs="Times New Roman"/>
          <w:spacing w:val="9"/>
          <w:sz w:val="32"/>
          <w:szCs w:val="32"/>
          <w:lang w:val="en-US" w:eastAsia="zh-CN"/>
        </w:rPr>
        <w:t>高稳定性糖皮质激素气雾剂处方</w:t>
      </w:r>
      <w:bookmarkEnd w:id="0"/>
      <w:r>
        <w:rPr>
          <w:rFonts w:hint="default" w:ascii="Times New Roman" w:hAnsi="Times New Roman" w:cs="Times New Roman"/>
          <w:spacing w:val="9"/>
          <w:sz w:val="32"/>
          <w:szCs w:val="32"/>
          <w:lang w:val="en-US" w:eastAsia="zh-CN"/>
        </w:rPr>
        <w:t>工艺与精准给药装置，突破了国外专利技术封锁，解决了制剂刺激性大、质量稳定性差、用药依从性差等难题，实现了对高端气雾剂产品的国产化替代。</w:t>
      </w:r>
    </w:p>
    <w:p w14:paraId="2C8F3D63">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cs="Times New Roman"/>
          <w:spacing w:val="9"/>
          <w:sz w:val="32"/>
          <w:szCs w:val="32"/>
          <w:lang w:val="en-US" w:eastAsia="zh-CN"/>
        </w:rPr>
      </w:pPr>
      <w:r>
        <w:rPr>
          <w:rFonts w:hint="default" w:ascii="Times New Roman" w:hAnsi="Times New Roman" w:cs="Times New Roman"/>
          <w:spacing w:val="9"/>
          <w:sz w:val="32"/>
          <w:szCs w:val="32"/>
          <w:lang w:val="en-US" w:eastAsia="zh-CN"/>
        </w:rPr>
        <w:t>建立了基于现代检测技术的质量控制策略与标准体系，填补了国内药典标准空白，解决了颗粒检测不准确、杂质检测灵敏度低、标准相对落后等难题，实现了高端气雾剂药品的高效质量控制，有效保障了药品的安全性与有效性。</w:t>
      </w:r>
    </w:p>
    <w:p w14:paraId="025CCE38">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cs="Times New Roman"/>
          <w:spacing w:val="9"/>
          <w:sz w:val="32"/>
          <w:szCs w:val="32"/>
          <w:lang w:val="en-US" w:eastAsia="zh-CN"/>
        </w:rPr>
      </w:pPr>
      <w:r>
        <w:rPr>
          <w:rFonts w:hint="default" w:ascii="Times New Roman" w:hAnsi="Times New Roman" w:cs="Times New Roman"/>
          <w:spacing w:val="9"/>
          <w:sz w:val="32"/>
          <w:szCs w:val="32"/>
          <w:lang w:val="en-US" w:eastAsia="zh-CN"/>
        </w:rPr>
        <w:t>围绕关键技术，授权发明专利10项，发表学术论文9篇，制订国家药品标准5个，获药品相关批件10个。项目关键技术填补了国内行业技术空白，整体技术达到国际先进水平，并应用到布地奈德鼻喷剂等多个品种，远销海外30多个国家和地区，近两年累计新增销售收入11.63亿元，经济和社会效益显著。</w:t>
      </w:r>
    </w:p>
    <w:p w14:paraId="1780D2B2">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cs="Times New Roman"/>
          <w:spacing w:val="9"/>
          <w:sz w:val="32"/>
          <w:szCs w:val="32"/>
          <w:lang w:val="en-US" w:eastAsia="zh-CN"/>
        </w:rPr>
      </w:pPr>
      <w:r>
        <w:rPr>
          <w:rFonts w:hint="default" w:ascii="Times New Roman" w:hAnsi="Times New Roman" w:cs="Times New Roman"/>
          <w:spacing w:val="9"/>
          <w:sz w:val="32"/>
          <w:szCs w:val="32"/>
          <w:lang w:val="en-US" w:eastAsia="zh-CN"/>
        </w:rPr>
        <w:t>推荐该项目为2026年度山东省科学技术进步奖二等奖。</w:t>
      </w:r>
    </w:p>
    <w:p w14:paraId="28DB6A63">
      <w:pPr>
        <w:keepNext w:val="0"/>
        <w:keepLines w:val="0"/>
        <w:pageBreakBefore w:val="0"/>
        <w:widowControl/>
        <w:kinsoku w:val="0"/>
        <w:wordWrap/>
        <w:overflowPunct/>
        <w:topLinePunct w:val="0"/>
        <w:autoSpaceDE w:val="0"/>
        <w:autoSpaceDN w:val="0"/>
        <w:bidi w:val="0"/>
        <w:adjustRightInd w:val="0"/>
        <w:snapToGrid w:val="0"/>
        <w:spacing w:line="480" w:lineRule="exact"/>
        <w:ind w:left="667"/>
        <w:textAlignment w:val="baseline"/>
        <w:outlineLvl w:val="1"/>
        <w:rPr>
          <w:rFonts w:hint="default" w:ascii="Times New Roman" w:hAnsi="Times New Roman" w:eastAsia="黑体" w:cs="Times New Roman"/>
          <w:spacing w:val="8"/>
          <w:sz w:val="32"/>
          <w:szCs w:val="32"/>
        </w:rPr>
      </w:pPr>
      <w:r>
        <w:rPr>
          <w:rFonts w:hint="default" w:ascii="Times New Roman" w:hAnsi="Times New Roman" w:eastAsia="黑体" w:cs="Times New Roman"/>
          <w:spacing w:val="8"/>
          <w:sz w:val="32"/>
          <w:szCs w:val="32"/>
        </w:rPr>
        <w:t>三、提名等级</w:t>
      </w:r>
    </w:p>
    <w:p w14:paraId="3FA35A6D">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702"/>
        <w:textAlignment w:val="baseline"/>
        <w:rPr>
          <w:rFonts w:hint="default" w:ascii="Times New Roman" w:hAnsi="Times New Roman" w:cs="Times New Roman"/>
          <w:sz w:val="32"/>
          <w:szCs w:val="32"/>
        </w:rPr>
      </w:pPr>
      <w:r>
        <w:rPr>
          <w:rFonts w:hint="default" w:ascii="Times New Roman" w:hAnsi="Times New Roman" w:cs="Times New Roman"/>
          <w:spacing w:val="5"/>
          <w:sz w:val="32"/>
          <w:szCs w:val="32"/>
        </w:rPr>
        <w:t>山东省科学技术进步奖</w:t>
      </w:r>
      <w:r>
        <w:rPr>
          <w:rFonts w:hint="default" w:ascii="Times New Roman" w:hAnsi="Times New Roman" w:cs="Times New Roman"/>
          <w:spacing w:val="5"/>
          <w:sz w:val="32"/>
          <w:szCs w:val="32"/>
          <w:lang w:val="en-US" w:eastAsia="zh-CN"/>
        </w:rPr>
        <w:t>二</w:t>
      </w:r>
      <w:r>
        <w:rPr>
          <w:rFonts w:hint="default" w:ascii="Times New Roman" w:hAnsi="Times New Roman" w:cs="Times New Roman"/>
          <w:spacing w:val="5"/>
          <w:sz w:val="32"/>
          <w:szCs w:val="32"/>
        </w:rPr>
        <w:t>等奖</w:t>
      </w:r>
    </w:p>
    <w:p w14:paraId="72CED77D">
      <w:pPr>
        <w:keepNext w:val="0"/>
        <w:keepLines w:val="0"/>
        <w:pageBreakBefore w:val="0"/>
        <w:widowControl/>
        <w:kinsoku w:val="0"/>
        <w:wordWrap/>
        <w:overflowPunct/>
        <w:topLinePunct w:val="0"/>
        <w:autoSpaceDE w:val="0"/>
        <w:autoSpaceDN w:val="0"/>
        <w:bidi w:val="0"/>
        <w:adjustRightInd w:val="0"/>
        <w:snapToGrid w:val="0"/>
        <w:spacing w:line="480" w:lineRule="exact"/>
        <w:ind w:left="667"/>
        <w:textAlignment w:val="baseline"/>
        <w:outlineLvl w:val="1"/>
        <w:rPr>
          <w:rFonts w:hint="default" w:ascii="Times New Roman" w:hAnsi="Times New Roman" w:eastAsia="黑体" w:cs="Times New Roman"/>
          <w:spacing w:val="8"/>
          <w:sz w:val="32"/>
          <w:szCs w:val="32"/>
        </w:rPr>
      </w:pPr>
      <w:r>
        <w:rPr>
          <w:rFonts w:hint="default" w:ascii="Times New Roman" w:hAnsi="Times New Roman" w:eastAsia="黑体" w:cs="Times New Roman"/>
          <w:spacing w:val="8"/>
          <w:sz w:val="32"/>
          <w:szCs w:val="32"/>
        </w:rPr>
        <w:t>四、项目简介</w:t>
      </w:r>
    </w:p>
    <w:p w14:paraId="0A09721C">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cs="Times New Roman"/>
          <w:spacing w:val="9"/>
          <w:sz w:val="32"/>
          <w:szCs w:val="32"/>
          <w:lang w:val="en-US" w:eastAsia="zh-CN"/>
        </w:rPr>
      </w:pPr>
      <w:r>
        <w:rPr>
          <w:rFonts w:hint="default" w:ascii="Times New Roman" w:hAnsi="Times New Roman" w:cs="Times New Roman"/>
          <w:spacing w:val="9"/>
          <w:sz w:val="32"/>
          <w:szCs w:val="32"/>
          <w:lang w:val="en-US" w:eastAsia="zh-CN"/>
        </w:rPr>
        <w:t>慢阻肺、哮喘等慢性呼吸系统疾病患病率高、疾病负担重，糖皮质激素气雾剂因疗效确切、使用方便成为主流治疗药物。丙酸倍氯米松作为特色品种，长期受原研技术垄断制约，国内价格高昂，产业化面临三大瓶颈：1、原料药制备工艺繁琐、效率低、三废量大，难以稳定供应；2、气雾剂处方工艺被国外封锁，产品质量可控性差；3、质控体系落后，缺乏精准快捷标准。</w:t>
      </w:r>
    </w:p>
    <w:p w14:paraId="71948683">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cs="Times New Roman"/>
          <w:spacing w:val="9"/>
          <w:sz w:val="32"/>
          <w:szCs w:val="32"/>
          <w:lang w:val="en-US" w:eastAsia="zh-CN"/>
        </w:rPr>
      </w:pPr>
      <w:r>
        <w:rPr>
          <w:rFonts w:hint="eastAsia" w:ascii="Times New Roman" w:hAnsi="Times New Roman" w:cs="Times New Roman"/>
          <w:spacing w:val="9"/>
          <w:sz w:val="32"/>
          <w:szCs w:val="32"/>
          <w:lang w:val="en-US" w:eastAsia="zh-CN"/>
        </w:rPr>
        <w:t>该</w:t>
      </w:r>
      <w:r>
        <w:rPr>
          <w:rFonts w:hint="default" w:ascii="Times New Roman" w:hAnsi="Times New Roman" w:cs="Times New Roman"/>
          <w:spacing w:val="9"/>
          <w:sz w:val="32"/>
          <w:szCs w:val="32"/>
          <w:lang w:val="en-US" w:eastAsia="zh-CN"/>
        </w:rPr>
        <w:t>项目依托国家计划、山东省重大专项支持，通过产学研合作，全力突破上述技术瓶颈，创新了以丙酸倍氯米松为代表的特色气雾剂共性关键技术，主要成果如下：</w:t>
      </w:r>
    </w:p>
    <w:p w14:paraId="69F9466D">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cs="Times New Roman"/>
          <w:spacing w:val="9"/>
          <w:sz w:val="32"/>
          <w:szCs w:val="32"/>
          <w:lang w:val="en-US" w:eastAsia="zh-CN"/>
        </w:rPr>
      </w:pPr>
      <w:r>
        <w:rPr>
          <w:rFonts w:hint="default" w:ascii="Times New Roman" w:hAnsi="Times New Roman" w:cs="Times New Roman"/>
          <w:spacing w:val="9"/>
          <w:sz w:val="32"/>
          <w:szCs w:val="32"/>
          <w:lang w:val="en-US" w:eastAsia="zh-CN"/>
        </w:rPr>
        <w:t>1、特色糖皮质激素原料药绿色制备工艺与产业化关键技术突破：发明了基于过程强化的叠缩合成新工艺，解决了原工艺合成周期长、溶剂用量大、三废排放量大等难题，实现了丙酸倍氯米松等关键中间体的高效绿色制备，过程收率提高至90%以上；开发了基于醇水混合溶剂体系的溶析耦合结晶新技术，解决了原工艺存在的杂质含量高、溶剂残留大、晶体易团聚等难题，实现了高纯度糖皮质激素的高效制备，过程收率提高至95%以上，产品纯度提升至99.95%以上；开发了糖皮质激素物微粉化调控新工艺与装备技术，解决了原工艺操作繁琐、物料损耗大、制备成本高等难题，实现了不同规格微粉原料药的稳定制备，生产成本降低30%以上。</w:t>
      </w:r>
    </w:p>
    <w:p w14:paraId="78D070C1">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cs="Times New Roman"/>
          <w:spacing w:val="9"/>
          <w:sz w:val="32"/>
          <w:szCs w:val="32"/>
          <w:lang w:val="en-US" w:eastAsia="zh-CN"/>
        </w:rPr>
      </w:pPr>
      <w:r>
        <w:rPr>
          <w:rFonts w:hint="default" w:ascii="Times New Roman" w:hAnsi="Times New Roman" w:cs="Times New Roman"/>
          <w:spacing w:val="9"/>
          <w:sz w:val="32"/>
          <w:szCs w:val="32"/>
          <w:lang w:val="en-US" w:eastAsia="zh-CN"/>
        </w:rPr>
        <w:t>2、高稳定性糖皮质激素气雾剂处方工艺与精准给药装置的研发及国产化替代：发明了不含防腐剂的糖皮质激素气雾剂新处方组合物体系，突破了原研专利壁垒，解决了处方辅料要求高、刺激性大、释放速率慢等难题，实现了丙酸倍氯米松气雾剂等药品的稳定制备，避免了对皮肤的刺激性；创新了基于流体力学模型的气雾剂给药装置核心组件，解决了原给药装置对材料性能要求极高、加工精度要求严苛、难以定量监测等难题，实现了高端气雾剂给药装置的稳定规模化生产，给药精度提升至99.2%以上。开发了基于一步法的气雾剂协同填充工艺技术，解决了原工艺生产批量小、检测周期长、物料含量均匀度差等难题，实现了丙酸倍氯米松气雾剂的连续稳定化制造，生产成本降低20%以上。</w:t>
      </w:r>
    </w:p>
    <w:p w14:paraId="01213169">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cs="Times New Roman"/>
          <w:spacing w:val="9"/>
          <w:sz w:val="32"/>
          <w:szCs w:val="32"/>
          <w:lang w:val="en-US" w:eastAsia="zh-CN"/>
        </w:rPr>
      </w:pPr>
      <w:r>
        <w:rPr>
          <w:rFonts w:hint="default" w:ascii="Times New Roman" w:hAnsi="Times New Roman" w:cs="Times New Roman"/>
          <w:spacing w:val="9"/>
          <w:sz w:val="32"/>
          <w:szCs w:val="32"/>
          <w:lang w:val="en-US" w:eastAsia="zh-CN"/>
        </w:rPr>
        <w:t>3、基于现代检测技术的糖皮质激素气雾剂质量控制标准体系构建：开发了适用于混悬液的药物粒度检测新技术，解决了常规粒度检测存在的液滴干扰大、检测效率低、结果准确性差等难题，实现了混悬液中药物粒度等指标的高效测定，有效确保了气雾剂的精准释放；开发了基于杂质谱原理的药品检测分析技术，解决了原方法专属性弱、杂质分离度差、灵敏度低、耐用性差等难题，实现了微量杂质的精准检测，检测效率提升100%；开发了基于药品安全的糖皮质气雾剂药品质量标准与控制技术，解决了原药品标准相对落后、控制精度差、权威性低等难题，实现了高端制剂产品的稳定规模化制备，产品质量水平达到国际先进。</w:t>
      </w:r>
    </w:p>
    <w:p w14:paraId="2DE0A903">
      <w:pPr>
        <w:pStyle w:val="2"/>
        <w:keepNext w:val="0"/>
        <w:keepLines w:val="0"/>
        <w:pageBreakBefore w:val="0"/>
        <w:widowControl/>
        <w:kinsoku w:val="0"/>
        <w:wordWrap/>
        <w:overflowPunct/>
        <w:topLinePunct w:val="0"/>
        <w:autoSpaceDE w:val="0"/>
        <w:autoSpaceDN w:val="0"/>
        <w:bidi w:val="0"/>
        <w:adjustRightInd w:val="0"/>
        <w:snapToGrid w:val="0"/>
        <w:spacing w:line="480" w:lineRule="exact"/>
        <w:ind w:left="24" w:right="11" w:firstLine="633"/>
        <w:jc w:val="both"/>
        <w:textAlignment w:val="baseline"/>
        <w:rPr>
          <w:rFonts w:hint="default" w:ascii="Times New Roman" w:hAnsi="Times New Roman" w:cs="Times New Roman"/>
          <w:spacing w:val="9"/>
          <w:sz w:val="32"/>
          <w:szCs w:val="32"/>
          <w:lang w:val="en-US" w:eastAsia="zh-CN"/>
        </w:rPr>
      </w:pPr>
      <w:r>
        <w:rPr>
          <w:rFonts w:hint="eastAsia" w:ascii="Times New Roman" w:hAnsi="Times New Roman" w:cs="Times New Roman"/>
          <w:spacing w:val="9"/>
          <w:sz w:val="32"/>
          <w:szCs w:val="32"/>
          <w:lang w:val="en-US" w:eastAsia="zh-CN"/>
        </w:rPr>
        <w:t>该</w:t>
      </w:r>
      <w:bookmarkStart w:id="1" w:name="_GoBack"/>
      <w:bookmarkEnd w:id="1"/>
      <w:r>
        <w:rPr>
          <w:rFonts w:hint="default" w:ascii="Times New Roman" w:hAnsi="Times New Roman" w:cs="Times New Roman"/>
          <w:spacing w:val="9"/>
          <w:sz w:val="32"/>
          <w:szCs w:val="32"/>
          <w:lang w:val="en-US" w:eastAsia="zh-CN"/>
        </w:rPr>
        <w:t>项目整体达到国际先进水平，项目实施期间，获国家发明专利10件，制定药品标准5个，获得药品批件10个。所形成的系列技术填补了国内高端呼吸类药物产业链的技术空白，并应用到异丙托溴铵气雾剂、布地奈德鼻喷剂等多个品种，远销海外30多个国家和地区，近两年实现销售收入11.63亿元，有力推动了我国呼吸类药物领域的科学技术进步，为促进我国医药产业升级、增强民族制药工业实力提供了重要支撑。</w:t>
      </w:r>
    </w:p>
    <w:p w14:paraId="47654023">
      <w:pPr>
        <w:spacing w:before="115" w:line="240" w:lineRule="auto"/>
        <w:ind w:left="733"/>
        <w:rPr>
          <w:rFonts w:hint="default" w:ascii="Times New Roman" w:hAnsi="Times New Roman" w:eastAsia="黑体" w:cs="Times New Roman"/>
          <w:sz w:val="32"/>
          <w:szCs w:val="32"/>
        </w:rPr>
      </w:pPr>
      <w:r>
        <w:rPr>
          <w:rFonts w:hint="default" w:ascii="Times New Roman" w:hAnsi="Times New Roman" w:eastAsia="黑体" w:cs="Times New Roman"/>
          <w:spacing w:val="-2"/>
          <w:sz w:val="32"/>
          <w:szCs w:val="32"/>
        </w:rPr>
        <w:t>五、主要知识产权和标准规范等目录</w:t>
      </w:r>
    </w:p>
    <w:p w14:paraId="6557B590">
      <w:pPr>
        <w:spacing w:line="240" w:lineRule="auto"/>
        <w:rPr>
          <w:rFonts w:hint="default" w:ascii="Times New Roman" w:hAnsi="Times New Roman" w:cs="Times New Roman"/>
        </w:rPr>
      </w:pPr>
    </w:p>
    <w:tbl>
      <w:tblPr>
        <w:tblStyle w:val="11"/>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8"/>
        <w:gridCol w:w="1347"/>
        <w:gridCol w:w="2137"/>
        <w:gridCol w:w="948"/>
        <w:gridCol w:w="2010"/>
        <w:gridCol w:w="1422"/>
      </w:tblGrid>
      <w:tr w14:paraId="45CFF0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668" w:type="dxa"/>
            <w:textDirection w:val="tbRlV"/>
            <w:vAlign w:val="center"/>
          </w:tcPr>
          <w:p w14:paraId="21E43263">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1"/>
                <w:sz w:val="24"/>
                <w:szCs w:val="24"/>
              </w:rPr>
              <w:t>序</w:t>
            </w:r>
            <w:r>
              <w:rPr>
                <w:rFonts w:hint="default" w:ascii="Times New Roman" w:hAnsi="Times New Roman" w:cs="Times New Roman" w:eastAsiaTheme="minorEastAsia"/>
                <w:spacing w:val="-47"/>
                <w:sz w:val="24"/>
                <w:szCs w:val="24"/>
              </w:rPr>
              <w:t xml:space="preserve"> </w:t>
            </w:r>
            <w:r>
              <w:rPr>
                <w:rFonts w:hint="default" w:ascii="Times New Roman" w:hAnsi="Times New Roman" w:cs="Times New Roman" w:eastAsiaTheme="minorEastAsia"/>
                <w:spacing w:val="-1"/>
                <w:sz w:val="24"/>
                <w:szCs w:val="24"/>
              </w:rPr>
              <w:t>号</w:t>
            </w:r>
          </w:p>
        </w:tc>
        <w:tc>
          <w:tcPr>
            <w:tcW w:w="1347" w:type="dxa"/>
            <w:vAlign w:val="center"/>
          </w:tcPr>
          <w:p w14:paraId="56971FFA">
            <w:pPr>
              <w:pStyle w:val="12"/>
              <w:spacing w:before="42" w:line="240" w:lineRule="auto"/>
              <w:ind w:left="203"/>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4"/>
                <w:sz w:val="24"/>
                <w:szCs w:val="24"/>
              </w:rPr>
              <w:t>知识产权</w:t>
            </w:r>
          </w:p>
          <w:p w14:paraId="1ED4C9D3">
            <w:pPr>
              <w:pStyle w:val="12"/>
              <w:spacing w:before="24" w:line="240" w:lineRule="auto"/>
              <w:ind w:left="123"/>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16"/>
                <w:sz w:val="24"/>
                <w:szCs w:val="24"/>
              </w:rPr>
              <w:t>（标准）类</w:t>
            </w:r>
          </w:p>
          <w:p w14:paraId="7BC60329">
            <w:pPr>
              <w:pStyle w:val="12"/>
              <w:spacing w:before="27" w:line="240" w:lineRule="auto"/>
              <w:ind w:left="561"/>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别</w:t>
            </w:r>
          </w:p>
        </w:tc>
        <w:tc>
          <w:tcPr>
            <w:tcW w:w="2137" w:type="dxa"/>
            <w:vAlign w:val="center"/>
          </w:tcPr>
          <w:p w14:paraId="6FB351D7">
            <w:pPr>
              <w:pStyle w:val="12"/>
              <w:spacing w:before="194" w:line="240" w:lineRule="auto"/>
              <w:ind w:left="598" w:right="128" w:hanging="480"/>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5"/>
                <w:sz w:val="24"/>
                <w:szCs w:val="24"/>
              </w:rPr>
              <w:t>知识产权（标准）</w:t>
            </w:r>
            <w:r>
              <w:rPr>
                <w:rFonts w:hint="default" w:ascii="Times New Roman" w:hAnsi="Times New Roman" w:cs="Times New Roman" w:eastAsiaTheme="minorEastAsia"/>
                <w:spacing w:val="-4"/>
                <w:sz w:val="24"/>
                <w:szCs w:val="24"/>
              </w:rPr>
              <w:t>具体名称</w:t>
            </w:r>
          </w:p>
        </w:tc>
        <w:tc>
          <w:tcPr>
            <w:tcW w:w="948" w:type="dxa"/>
            <w:vAlign w:val="center"/>
          </w:tcPr>
          <w:p w14:paraId="15A6AF47">
            <w:pPr>
              <w:pStyle w:val="12"/>
              <w:keepNext w:val="0"/>
              <w:keepLines w:val="0"/>
              <w:pageBreakBefore w:val="0"/>
              <w:widowControl/>
              <w:kinsoku w:val="0"/>
              <w:wordWrap/>
              <w:overflowPunct/>
              <w:topLinePunct w:val="0"/>
              <w:autoSpaceDE w:val="0"/>
              <w:autoSpaceDN w:val="0"/>
              <w:bidi w:val="0"/>
              <w:adjustRightInd w:val="0"/>
              <w:snapToGrid w:val="0"/>
              <w:spacing w:line="240" w:lineRule="auto"/>
              <w:ind w:right="23"/>
              <w:jc w:val="center"/>
              <w:textAlignment w:val="baseline"/>
              <w:rPr>
                <w:rFonts w:hint="default" w:ascii="Times New Roman" w:hAnsi="Times New Roman" w:cs="Times New Roman" w:eastAsiaTheme="minorEastAsia"/>
                <w:spacing w:val="-17"/>
                <w:sz w:val="24"/>
                <w:szCs w:val="24"/>
              </w:rPr>
            </w:pPr>
            <w:r>
              <w:rPr>
                <w:rFonts w:hint="default" w:ascii="Times New Roman" w:hAnsi="Times New Roman" w:cs="Times New Roman" w:eastAsiaTheme="minorEastAsia"/>
                <w:spacing w:val="-17"/>
                <w:sz w:val="24"/>
                <w:szCs w:val="24"/>
              </w:rPr>
              <w:t>国家</w:t>
            </w:r>
          </w:p>
          <w:p w14:paraId="1D5EE986">
            <w:pPr>
              <w:pStyle w:val="12"/>
              <w:keepNext w:val="0"/>
              <w:keepLines w:val="0"/>
              <w:pageBreakBefore w:val="0"/>
              <w:widowControl/>
              <w:kinsoku w:val="0"/>
              <w:wordWrap/>
              <w:overflowPunct/>
              <w:topLinePunct w:val="0"/>
              <w:autoSpaceDE w:val="0"/>
              <w:autoSpaceDN w:val="0"/>
              <w:bidi w:val="0"/>
              <w:adjustRightInd w:val="0"/>
              <w:snapToGrid w:val="0"/>
              <w:spacing w:line="240" w:lineRule="auto"/>
              <w:ind w:right="23"/>
              <w:jc w:val="center"/>
              <w:textAlignment w:val="baseline"/>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11"/>
                <w:sz w:val="24"/>
                <w:szCs w:val="24"/>
              </w:rPr>
              <w:t>（地区）</w:t>
            </w:r>
          </w:p>
        </w:tc>
        <w:tc>
          <w:tcPr>
            <w:tcW w:w="2010" w:type="dxa"/>
            <w:vAlign w:val="center"/>
          </w:tcPr>
          <w:p w14:paraId="486493EF">
            <w:pPr>
              <w:pStyle w:val="12"/>
              <w:spacing w:before="194" w:line="240" w:lineRule="auto"/>
              <w:ind w:left="368" w:right="118" w:hanging="240"/>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2"/>
                <w:sz w:val="24"/>
                <w:szCs w:val="24"/>
              </w:rPr>
              <w:t>授权（标准发</w:t>
            </w:r>
            <w:r>
              <w:rPr>
                <w:rFonts w:hint="default" w:ascii="Times New Roman" w:hAnsi="Times New Roman" w:cs="Times New Roman" w:eastAsiaTheme="minorEastAsia"/>
                <w:spacing w:val="-15"/>
                <w:sz w:val="24"/>
                <w:szCs w:val="24"/>
              </w:rPr>
              <w:t>布）日期</w:t>
            </w:r>
          </w:p>
        </w:tc>
        <w:tc>
          <w:tcPr>
            <w:tcW w:w="1422" w:type="dxa"/>
            <w:vAlign w:val="center"/>
          </w:tcPr>
          <w:p w14:paraId="3C5AD4A9">
            <w:pPr>
              <w:pStyle w:val="12"/>
              <w:spacing w:before="41" w:line="240" w:lineRule="auto"/>
              <w:ind w:left="116"/>
              <w:rPr>
                <w:rFonts w:hint="default" w:ascii="Times New Roman" w:hAnsi="Times New Roman" w:cs="Times New Roman" w:eastAsiaTheme="minorEastAsia"/>
                <w:spacing w:val="-8"/>
                <w:sz w:val="24"/>
                <w:szCs w:val="24"/>
              </w:rPr>
            </w:pPr>
            <w:r>
              <w:rPr>
                <w:rFonts w:hint="default" w:ascii="Times New Roman" w:hAnsi="Times New Roman" w:cs="Times New Roman" w:eastAsiaTheme="minorEastAsia"/>
                <w:spacing w:val="-8"/>
                <w:sz w:val="24"/>
                <w:szCs w:val="24"/>
              </w:rPr>
              <w:t>证书编号</w:t>
            </w:r>
          </w:p>
          <w:p w14:paraId="2B347A72">
            <w:pPr>
              <w:pStyle w:val="12"/>
              <w:spacing w:before="41" w:line="240" w:lineRule="auto"/>
              <w:ind w:left="116"/>
              <w:rPr>
                <w:rFonts w:hint="default" w:ascii="Times New Roman" w:hAnsi="Times New Roman" w:cs="Times New Roman" w:eastAsiaTheme="minorEastAsia"/>
                <w:sz w:val="24"/>
                <w:szCs w:val="24"/>
              </w:rPr>
            </w:pPr>
            <w:r>
              <w:rPr>
                <w:rFonts w:hint="default" w:ascii="Times New Roman" w:hAnsi="Times New Roman" w:cs="Times New Roman" w:eastAsiaTheme="minorEastAsia"/>
                <w:spacing w:val="-8"/>
                <w:sz w:val="24"/>
                <w:szCs w:val="24"/>
              </w:rPr>
              <w:t>（标</w:t>
            </w:r>
            <w:r>
              <w:rPr>
                <w:rFonts w:hint="default" w:ascii="Times New Roman" w:hAnsi="Times New Roman" w:cs="Times New Roman" w:eastAsiaTheme="minorEastAsia"/>
                <w:spacing w:val="-3"/>
                <w:sz w:val="24"/>
                <w:szCs w:val="24"/>
              </w:rPr>
              <w:t>准批准发布</w:t>
            </w:r>
            <w:r>
              <w:rPr>
                <w:rFonts w:hint="default" w:ascii="Times New Roman" w:hAnsi="Times New Roman" w:cs="Times New Roman" w:eastAsiaTheme="minorEastAsia"/>
                <w:spacing w:val="-5"/>
                <w:sz w:val="24"/>
                <w:szCs w:val="24"/>
              </w:rPr>
              <w:t>部门）</w:t>
            </w:r>
          </w:p>
        </w:tc>
      </w:tr>
      <w:tr w14:paraId="209CEF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68" w:type="dxa"/>
            <w:vAlign w:val="center"/>
          </w:tcPr>
          <w:p w14:paraId="0C40EB7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w:t>
            </w:r>
          </w:p>
        </w:tc>
        <w:tc>
          <w:tcPr>
            <w:tcW w:w="1347" w:type="dxa"/>
            <w:vAlign w:val="center"/>
          </w:tcPr>
          <w:p w14:paraId="0789DB61">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发明专利权</w:t>
            </w:r>
          </w:p>
        </w:tc>
        <w:tc>
          <w:tcPr>
            <w:tcW w:w="2137" w:type="dxa"/>
            <w:vAlign w:val="center"/>
          </w:tcPr>
          <w:p w14:paraId="432592FE">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一种含有糖皮质激素的无菌混悬型鼻喷剂及其制备方法</w:t>
            </w:r>
          </w:p>
        </w:tc>
        <w:tc>
          <w:tcPr>
            <w:tcW w:w="948" w:type="dxa"/>
            <w:vAlign w:val="center"/>
          </w:tcPr>
          <w:p w14:paraId="13820C59">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中国</w:t>
            </w:r>
          </w:p>
        </w:tc>
        <w:tc>
          <w:tcPr>
            <w:tcW w:w="2010" w:type="dxa"/>
            <w:vAlign w:val="center"/>
          </w:tcPr>
          <w:p w14:paraId="60D13F6D">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ZL201810578636.2</w:t>
            </w:r>
          </w:p>
        </w:tc>
        <w:tc>
          <w:tcPr>
            <w:tcW w:w="1422" w:type="dxa"/>
            <w:vAlign w:val="center"/>
          </w:tcPr>
          <w:p w14:paraId="091ED1DB">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2021/4/13</w:t>
            </w:r>
          </w:p>
        </w:tc>
      </w:tr>
      <w:tr w14:paraId="7DB574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54FAA61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2</w:t>
            </w:r>
          </w:p>
        </w:tc>
        <w:tc>
          <w:tcPr>
            <w:tcW w:w="1347" w:type="dxa"/>
            <w:vAlign w:val="center"/>
          </w:tcPr>
          <w:p w14:paraId="5E69031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发明专利权</w:t>
            </w:r>
          </w:p>
        </w:tc>
        <w:tc>
          <w:tcPr>
            <w:tcW w:w="2137" w:type="dxa"/>
            <w:vAlign w:val="center"/>
          </w:tcPr>
          <w:p w14:paraId="30A82600">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一种气雾剂自动揿压促动器、监测方法及应用</w:t>
            </w:r>
          </w:p>
        </w:tc>
        <w:tc>
          <w:tcPr>
            <w:tcW w:w="948" w:type="dxa"/>
            <w:vAlign w:val="center"/>
          </w:tcPr>
          <w:p w14:paraId="47DC073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中国</w:t>
            </w:r>
          </w:p>
        </w:tc>
        <w:tc>
          <w:tcPr>
            <w:tcW w:w="2010" w:type="dxa"/>
            <w:vAlign w:val="center"/>
          </w:tcPr>
          <w:p w14:paraId="343DC65E">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ZL202210595005.8</w:t>
            </w:r>
          </w:p>
        </w:tc>
        <w:tc>
          <w:tcPr>
            <w:tcW w:w="1422" w:type="dxa"/>
            <w:vAlign w:val="center"/>
          </w:tcPr>
          <w:p w14:paraId="6DBF0257">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2023/12/5</w:t>
            </w:r>
          </w:p>
        </w:tc>
      </w:tr>
      <w:tr w14:paraId="47C7C4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7051E70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3</w:t>
            </w:r>
          </w:p>
        </w:tc>
        <w:tc>
          <w:tcPr>
            <w:tcW w:w="1347" w:type="dxa"/>
            <w:vAlign w:val="center"/>
          </w:tcPr>
          <w:p w14:paraId="5B74255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发明专利权</w:t>
            </w:r>
          </w:p>
        </w:tc>
        <w:tc>
          <w:tcPr>
            <w:tcW w:w="2137" w:type="dxa"/>
            <w:vAlign w:val="center"/>
          </w:tcPr>
          <w:p w14:paraId="563FDF44">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一种鼻气雾剂给药器及其方法</w:t>
            </w:r>
          </w:p>
        </w:tc>
        <w:tc>
          <w:tcPr>
            <w:tcW w:w="948" w:type="dxa"/>
            <w:vAlign w:val="center"/>
          </w:tcPr>
          <w:p w14:paraId="541F8EBB">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中国</w:t>
            </w:r>
          </w:p>
        </w:tc>
        <w:tc>
          <w:tcPr>
            <w:tcW w:w="2010" w:type="dxa"/>
            <w:vAlign w:val="center"/>
          </w:tcPr>
          <w:p w14:paraId="21D607DA">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ZL202310614563.9</w:t>
            </w:r>
          </w:p>
        </w:tc>
        <w:tc>
          <w:tcPr>
            <w:tcW w:w="1422" w:type="dxa"/>
            <w:vAlign w:val="center"/>
          </w:tcPr>
          <w:p w14:paraId="06103A51">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2024/2/20</w:t>
            </w:r>
          </w:p>
        </w:tc>
      </w:tr>
      <w:tr w14:paraId="0FFD8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7D84BA0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4</w:t>
            </w:r>
          </w:p>
        </w:tc>
        <w:tc>
          <w:tcPr>
            <w:tcW w:w="1347" w:type="dxa"/>
            <w:vAlign w:val="center"/>
          </w:tcPr>
          <w:p w14:paraId="472D089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发明专利权</w:t>
            </w:r>
          </w:p>
        </w:tc>
        <w:tc>
          <w:tcPr>
            <w:tcW w:w="2137" w:type="dxa"/>
            <w:vAlign w:val="center"/>
          </w:tcPr>
          <w:p w14:paraId="42BA7BD1">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一种盐酸左沙丁胺醇的制备方法</w:t>
            </w:r>
          </w:p>
        </w:tc>
        <w:tc>
          <w:tcPr>
            <w:tcW w:w="948" w:type="dxa"/>
            <w:vAlign w:val="center"/>
          </w:tcPr>
          <w:p w14:paraId="69BFFC4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中国</w:t>
            </w:r>
          </w:p>
        </w:tc>
        <w:tc>
          <w:tcPr>
            <w:tcW w:w="2010" w:type="dxa"/>
            <w:vAlign w:val="center"/>
          </w:tcPr>
          <w:p w14:paraId="6528E6F6">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ZL202310649924.3</w:t>
            </w:r>
          </w:p>
        </w:tc>
        <w:tc>
          <w:tcPr>
            <w:tcW w:w="1422" w:type="dxa"/>
            <w:vAlign w:val="center"/>
          </w:tcPr>
          <w:p w14:paraId="61EE6BB3">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2024/1/30</w:t>
            </w:r>
          </w:p>
        </w:tc>
      </w:tr>
      <w:tr w14:paraId="7BF21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4FDF661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5</w:t>
            </w:r>
          </w:p>
        </w:tc>
        <w:tc>
          <w:tcPr>
            <w:tcW w:w="1347" w:type="dxa"/>
            <w:vAlign w:val="center"/>
          </w:tcPr>
          <w:p w14:paraId="6B2B020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发明专利权</w:t>
            </w:r>
          </w:p>
        </w:tc>
        <w:tc>
          <w:tcPr>
            <w:tcW w:w="2137" w:type="dxa"/>
            <w:vAlign w:val="center"/>
          </w:tcPr>
          <w:p w14:paraId="64949BFB">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一种丙酸倍氯米松混悬液中原料粒度的检测方法</w:t>
            </w:r>
          </w:p>
        </w:tc>
        <w:tc>
          <w:tcPr>
            <w:tcW w:w="948" w:type="dxa"/>
            <w:vAlign w:val="center"/>
          </w:tcPr>
          <w:p w14:paraId="03AF5B0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中国</w:t>
            </w:r>
          </w:p>
        </w:tc>
        <w:tc>
          <w:tcPr>
            <w:tcW w:w="2010" w:type="dxa"/>
            <w:vAlign w:val="center"/>
          </w:tcPr>
          <w:p w14:paraId="6BB38A3C">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ZL2023116342402</w:t>
            </w:r>
          </w:p>
        </w:tc>
        <w:tc>
          <w:tcPr>
            <w:tcW w:w="1422" w:type="dxa"/>
            <w:vAlign w:val="center"/>
          </w:tcPr>
          <w:p w14:paraId="3B698A84">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2025/2/14</w:t>
            </w:r>
          </w:p>
        </w:tc>
      </w:tr>
      <w:tr w14:paraId="05FBE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C847DE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6</w:t>
            </w:r>
          </w:p>
        </w:tc>
        <w:tc>
          <w:tcPr>
            <w:tcW w:w="1347" w:type="dxa"/>
            <w:vAlign w:val="center"/>
          </w:tcPr>
          <w:p w14:paraId="79E370A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发明专利权</w:t>
            </w:r>
          </w:p>
        </w:tc>
        <w:tc>
          <w:tcPr>
            <w:tcW w:w="2137" w:type="dxa"/>
            <w:vAlign w:val="center"/>
          </w:tcPr>
          <w:p w14:paraId="0DF1EF8A">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一种检测丙酸氟替卡松中间体硫代羧酸有关物质的分析方法</w:t>
            </w:r>
          </w:p>
        </w:tc>
        <w:tc>
          <w:tcPr>
            <w:tcW w:w="948" w:type="dxa"/>
            <w:vAlign w:val="center"/>
          </w:tcPr>
          <w:p w14:paraId="62C1BB0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中国</w:t>
            </w:r>
          </w:p>
        </w:tc>
        <w:tc>
          <w:tcPr>
            <w:tcW w:w="2010" w:type="dxa"/>
            <w:vAlign w:val="center"/>
          </w:tcPr>
          <w:p w14:paraId="36E97CE4">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ZL202410784370.2</w:t>
            </w:r>
          </w:p>
        </w:tc>
        <w:tc>
          <w:tcPr>
            <w:tcW w:w="1422" w:type="dxa"/>
            <w:vAlign w:val="center"/>
          </w:tcPr>
          <w:p w14:paraId="418514FF">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2023/12/1</w:t>
            </w:r>
          </w:p>
        </w:tc>
      </w:tr>
      <w:tr w14:paraId="3E0948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D4D7056">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7</w:t>
            </w:r>
          </w:p>
        </w:tc>
        <w:tc>
          <w:tcPr>
            <w:tcW w:w="1347" w:type="dxa"/>
            <w:vAlign w:val="center"/>
          </w:tcPr>
          <w:p w14:paraId="6AAB47ED">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标准</w:t>
            </w:r>
          </w:p>
        </w:tc>
        <w:tc>
          <w:tcPr>
            <w:tcW w:w="2137" w:type="dxa"/>
            <w:vAlign w:val="center"/>
          </w:tcPr>
          <w:p w14:paraId="6581DF8F">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丙酸倍氯米松气雾剂国家药品注册标准</w:t>
            </w:r>
          </w:p>
        </w:tc>
        <w:tc>
          <w:tcPr>
            <w:tcW w:w="948" w:type="dxa"/>
            <w:vAlign w:val="center"/>
          </w:tcPr>
          <w:p w14:paraId="69778B4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中国</w:t>
            </w:r>
          </w:p>
        </w:tc>
        <w:tc>
          <w:tcPr>
            <w:tcW w:w="2010" w:type="dxa"/>
            <w:vAlign w:val="center"/>
          </w:tcPr>
          <w:p w14:paraId="341D4633">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YBH02702012</w:t>
            </w:r>
          </w:p>
        </w:tc>
        <w:tc>
          <w:tcPr>
            <w:tcW w:w="1422" w:type="dxa"/>
            <w:vAlign w:val="center"/>
          </w:tcPr>
          <w:p w14:paraId="097A0F09">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2012/09/17</w:t>
            </w:r>
          </w:p>
        </w:tc>
      </w:tr>
      <w:tr w14:paraId="3EFD27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2FE7E66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8</w:t>
            </w:r>
          </w:p>
        </w:tc>
        <w:tc>
          <w:tcPr>
            <w:tcW w:w="1347" w:type="dxa"/>
            <w:vAlign w:val="center"/>
          </w:tcPr>
          <w:p w14:paraId="36909B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标准</w:t>
            </w:r>
          </w:p>
        </w:tc>
        <w:tc>
          <w:tcPr>
            <w:tcW w:w="2137" w:type="dxa"/>
            <w:vAlign w:val="center"/>
          </w:tcPr>
          <w:p w14:paraId="4743428B">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丙酸倍氯米松鼻气雾剂国家药品注册标准</w:t>
            </w:r>
          </w:p>
        </w:tc>
        <w:tc>
          <w:tcPr>
            <w:tcW w:w="948" w:type="dxa"/>
            <w:vAlign w:val="center"/>
          </w:tcPr>
          <w:p w14:paraId="1902D19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中国</w:t>
            </w:r>
          </w:p>
        </w:tc>
        <w:tc>
          <w:tcPr>
            <w:tcW w:w="2010" w:type="dxa"/>
            <w:vAlign w:val="center"/>
          </w:tcPr>
          <w:p w14:paraId="6F91823F">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YBH02382011</w:t>
            </w:r>
          </w:p>
        </w:tc>
        <w:tc>
          <w:tcPr>
            <w:tcW w:w="1422" w:type="dxa"/>
            <w:vAlign w:val="center"/>
          </w:tcPr>
          <w:p w14:paraId="6C4D7F63">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2011/07/18</w:t>
            </w:r>
          </w:p>
        </w:tc>
      </w:tr>
      <w:tr w14:paraId="3ACCE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0836AA1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9</w:t>
            </w:r>
          </w:p>
        </w:tc>
        <w:tc>
          <w:tcPr>
            <w:tcW w:w="1347" w:type="dxa"/>
            <w:vAlign w:val="center"/>
          </w:tcPr>
          <w:p w14:paraId="2F412BEF">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标准</w:t>
            </w:r>
          </w:p>
        </w:tc>
        <w:tc>
          <w:tcPr>
            <w:tcW w:w="2137" w:type="dxa"/>
            <w:vAlign w:val="center"/>
          </w:tcPr>
          <w:p w14:paraId="4E0EDDDF">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异丙托溴铵国家药品注册标准</w:t>
            </w:r>
          </w:p>
        </w:tc>
        <w:tc>
          <w:tcPr>
            <w:tcW w:w="948" w:type="dxa"/>
            <w:vAlign w:val="center"/>
          </w:tcPr>
          <w:p w14:paraId="6F49DC1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中国</w:t>
            </w:r>
          </w:p>
        </w:tc>
        <w:tc>
          <w:tcPr>
            <w:tcW w:w="2010" w:type="dxa"/>
            <w:vAlign w:val="center"/>
          </w:tcPr>
          <w:p w14:paraId="54D11F8D">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YBH00172016</w:t>
            </w:r>
          </w:p>
        </w:tc>
        <w:tc>
          <w:tcPr>
            <w:tcW w:w="1422" w:type="dxa"/>
            <w:vAlign w:val="center"/>
          </w:tcPr>
          <w:p w14:paraId="712734FD">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2016/02/03</w:t>
            </w:r>
          </w:p>
        </w:tc>
      </w:tr>
      <w:tr w14:paraId="5F781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668" w:type="dxa"/>
            <w:vAlign w:val="center"/>
          </w:tcPr>
          <w:p w14:paraId="0C6ED0E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eastAsiaTheme="minorEastAsia"/>
                <w:sz w:val="24"/>
                <w:szCs w:val="24"/>
                <w:lang w:val="en-US" w:eastAsia="zh-CN"/>
              </w:rPr>
              <w:t>10</w:t>
            </w:r>
          </w:p>
        </w:tc>
        <w:tc>
          <w:tcPr>
            <w:tcW w:w="1347" w:type="dxa"/>
            <w:vAlign w:val="center"/>
          </w:tcPr>
          <w:p w14:paraId="5A4B3EF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标准</w:t>
            </w:r>
          </w:p>
        </w:tc>
        <w:tc>
          <w:tcPr>
            <w:tcW w:w="2137" w:type="dxa"/>
            <w:vAlign w:val="center"/>
          </w:tcPr>
          <w:p w14:paraId="6726AC41">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昔萘酸沙美特罗国家药品注册标准</w:t>
            </w:r>
          </w:p>
        </w:tc>
        <w:tc>
          <w:tcPr>
            <w:tcW w:w="948" w:type="dxa"/>
            <w:vAlign w:val="center"/>
          </w:tcPr>
          <w:p w14:paraId="454AAF4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中国</w:t>
            </w:r>
          </w:p>
        </w:tc>
        <w:tc>
          <w:tcPr>
            <w:tcW w:w="2010" w:type="dxa"/>
            <w:vAlign w:val="center"/>
          </w:tcPr>
          <w:p w14:paraId="3B5DEF28">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YBY62232019</w:t>
            </w:r>
          </w:p>
        </w:tc>
        <w:tc>
          <w:tcPr>
            <w:tcW w:w="1422" w:type="dxa"/>
            <w:vAlign w:val="center"/>
          </w:tcPr>
          <w:p w14:paraId="4B900A9D">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cs="Times New Roman" w:eastAsiaTheme="minorEastAsia"/>
                <w:sz w:val="24"/>
                <w:szCs w:val="24"/>
              </w:rPr>
            </w:pPr>
            <w:r>
              <w:rPr>
                <w:rFonts w:hint="default" w:ascii="Times New Roman" w:hAnsi="Times New Roman" w:cs="Times New Roman"/>
                <w:color w:val="000000"/>
                <w:sz w:val="24"/>
                <w:szCs w:val="24"/>
              </w:rPr>
              <w:t>2019/01/30</w:t>
            </w:r>
          </w:p>
        </w:tc>
      </w:tr>
    </w:tbl>
    <w:p w14:paraId="26B4D7A8">
      <w:pPr>
        <w:spacing w:before="290" w:line="240" w:lineRule="auto"/>
        <w:ind w:left="734"/>
        <w:outlineLvl w:val="1"/>
        <w:rPr>
          <w:rFonts w:hint="default" w:ascii="Times New Roman" w:hAnsi="Times New Roman" w:eastAsia="黑体" w:cs="Times New Roman"/>
          <w:sz w:val="30"/>
          <w:szCs w:val="30"/>
        </w:rPr>
      </w:pPr>
      <w:r>
        <w:rPr>
          <w:rFonts w:hint="default" w:ascii="Times New Roman" w:hAnsi="Times New Roman" w:eastAsia="黑体" w:cs="Times New Roman"/>
          <w:spacing w:val="-2"/>
          <w:sz w:val="30"/>
          <w:szCs w:val="30"/>
        </w:rPr>
        <w:t>六、主要完成人、主要完成单位情况</w:t>
      </w:r>
    </w:p>
    <w:p w14:paraId="3D7C624C">
      <w:pPr>
        <w:spacing w:line="240" w:lineRule="auto"/>
        <w:rPr>
          <w:rFonts w:hint="default" w:ascii="Times New Roman" w:hAnsi="Times New Roman" w:cs="Times New Roman"/>
        </w:rPr>
      </w:pPr>
    </w:p>
    <w:tbl>
      <w:tblPr>
        <w:tblStyle w:val="11"/>
        <w:tblW w:w="85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0"/>
        <w:gridCol w:w="1249"/>
        <w:gridCol w:w="3310"/>
        <w:gridCol w:w="3313"/>
      </w:tblGrid>
      <w:tr w14:paraId="2F65E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8532" w:type="dxa"/>
            <w:gridSpan w:val="4"/>
            <w:vAlign w:val="top"/>
          </w:tcPr>
          <w:p w14:paraId="469F1598">
            <w:pPr>
              <w:pStyle w:val="12"/>
              <w:spacing w:before="35" w:line="240" w:lineRule="auto"/>
              <w:ind w:left="3538"/>
              <w:rPr>
                <w:rFonts w:hint="default" w:ascii="Times New Roman" w:hAnsi="Times New Roman" w:cs="Times New Roman"/>
                <w:sz w:val="20"/>
                <w:szCs w:val="20"/>
              </w:rPr>
            </w:pPr>
            <w:r>
              <w:rPr>
                <w:rFonts w:hint="default" w:ascii="Times New Roman" w:hAnsi="Times New Roman" w:cs="Times New Roman"/>
                <w:spacing w:val="8"/>
                <w:sz w:val="20"/>
                <w:szCs w:val="20"/>
              </w:rPr>
              <w:t>主要完成人情况</w:t>
            </w:r>
          </w:p>
        </w:tc>
      </w:tr>
      <w:tr w14:paraId="43811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14:paraId="797923D3">
            <w:pPr>
              <w:pStyle w:val="12"/>
              <w:spacing w:before="33" w:line="240" w:lineRule="auto"/>
              <w:ind w:left="126"/>
              <w:rPr>
                <w:rFonts w:hint="default" w:ascii="Times New Roman" w:hAnsi="Times New Roman" w:cs="Times New Roman"/>
                <w:sz w:val="20"/>
                <w:szCs w:val="20"/>
              </w:rPr>
            </w:pPr>
            <w:r>
              <w:rPr>
                <w:rFonts w:hint="default" w:ascii="Times New Roman" w:hAnsi="Times New Roman" w:cs="Times New Roman"/>
                <w:spacing w:val="4"/>
                <w:sz w:val="20"/>
                <w:szCs w:val="20"/>
              </w:rPr>
              <w:t>排名</w:t>
            </w:r>
          </w:p>
        </w:tc>
        <w:tc>
          <w:tcPr>
            <w:tcW w:w="1249" w:type="dxa"/>
            <w:vAlign w:val="top"/>
          </w:tcPr>
          <w:p w14:paraId="1E39D39F">
            <w:pPr>
              <w:pStyle w:val="12"/>
              <w:spacing w:before="33" w:line="240" w:lineRule="auto"/>
              <w:ind w:left="418"/>
              <w:rPr>
                <w:rFonts w:hint="default" w:ascii="Times New Roman" w:hAnsi="Times New Roman" w:cs="Times New Roman"/>
                <w:sz w:val="20"/>
                <w:szCs w:val="20"/>
              </w:rPr>
            </w:pPr>
            <w:r>
              <w:rPr>
                <w:rFonts w:hint="default" w:ascii="Times New Roman" w:hAnsi="Times New Roman" w:cs="Times New Roman"/>
                <w:spacing w:val="4"/>
                <w:sz w:val="20"/>
                <w:szCs w:val="20"/>
              </w:rPr>
              <w:t>姓名</w:t>
            </w:r>
          </w:p>
        </w:tc>
        <w:tc>
          <w:tcPr>
            <w:tcW w:w="3310" w:type="dxa"/>
            <w:vAlign w:val="top"/>
          </w:tcPr>
          <w:p w14:paraId="6D25A032">
            <w:pPr>
              <w:pStyle w:val="12"/>
              <w:spacing w:before="33" w:line="240" w:lineRule="auto"/>
              <w:ind w:left="1243"/>
              <w:rPr>
                <w:rFonts w:hint="default" w:ascii="Times New Roman" w:hAnsi="Times New Roman" w:cs="Times New Roman"/>
                <w:sz w:val="20"/>
                <w:szCs w:val="20"/>
              </w:rPr>
            </w:pPr>
            <w:r>
              <w:rPr>
                <w:rFonts w:hint="default" w:ascii="Times New Roman" w:hAnsi="Times New Roman" w:cs="Times New Roman"/>
                <w:spacing w:val="6"/>
                <w:sz w:val="20"/>
                <w:szCs w:val="20"/>
              </w:rPr>
              <w:t>工作单位</w:t>
            </w:r>
          </w:p>
        </w:tc>
        <w:tc>
          <w:tcPr>
            <w:tcW w:w="3313" w:type="dxa"/>
            <w:vAlign w:val="top"/>
          </w:tcPr>
          <w:p w14:paraId="72CAFF68">
            <w:pPr>
              <w:pStyle w:val="12"/>
              <w:spacing w:before="33" w:line="240" w:lineRule="auto"/>
              <w:ind w:left="1242"/>
              <w:rPr>
                <w:rFonts w:hint="default" w:ascii="Times New Roman" w:hAnsi="Times New Roman" w:cs="Times New Roman"/>
                <w:sz w:val="20"/>
                <w:szCs w:val="20"/>
              </w:rPr>
            </w:pPr>
            <w:r>
              <w:rPr>
                <w:rFonts w:hint="default" w:ascii="Times New Roman" w:hAnsi="Times New Roman" w:cs="Times New Roman"/>
                <w:spacing w:val="6"/>
                <w:sz w:val="20"/>
                <w:szCs w:val="20"/>
              </w:rPr>
              <w:t>完成单位</w:t>
            </w:r>
          </w:p>
        </w:tc>
      </w:tr>
      <w:tr w14:paraId="60FA0E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6B9949C8">
            <w:pPr>
              <w:spacing w:before="67" w:line="240" w:lineRule="auto"/>
              <w:ind w:left="298"/>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1</w:t>
            </w:r>
          </w:p>
        </w:tc>
        <w:tc>
          <w:tcPr>
            <w:tcW w:w="1249" w:type="dxa"/>
            <w:vAlign w:val="center"/>
          </w:tcPr>
          <w:p w14:paraId="2A1FE9AF">
            <w:pPr>
              <w:jc w:val="center"/>
              <w:rPr>
                <w:rFonts w:hint="default" w:ascii="Times New Roman" w:hAnsi="Times New Roman" w:cs="Times New Roman"/>
                <w:sz w:val="20"/>
                <w:szCs w:val="20"/>
              </w:rPr>
            </w:pPr>
            <w:r>
              <w:rPr>
                <w:rFonts w:hint="default" w:ascii="Times New Roman" w:hAnsi="Times New Roman" w:cs="Times New Roman"/>
                <w:sz w:val="20"/>
                <w:szCs w:val="20"/>
              </w:rPr>
              <w:t>孙迎基</w:t>
            </w:r>
          </w:p>
        </w:tc>
        <w:tc>
          <w:tcPr>
            <w:tcW w:w="3310" w:type="dxa"/>
            <w:vAlign w:val="center"/>
          </w:tcPr>
          <w:p w14:paraId="01FBD7C6">
            <w:pPr>
              <w:jc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山东京卫制药有限公司</w:t>
            </w:r>
          </w:p>
        </w:tc>
        <w:tc>
          <w:tcPr>
            <w:tcW w:w="3313" w:type="dxa"/>
            <w:vAlign w:val="center"/>
          </w:tcPr>
          <w:p w14:paraId="0B651B38">
            <w:pPr>
              <w:jc w:val="center"/>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eastAsia="zh-CN"/>
              </w:rPr>
              <w:t>山东京卫制药有限公司</w:t>
            </w:r>
          </w:p>
        </w:tc>
      </w:tr>
      <w:tr w14:paraId="30932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660" w:type="dxa"/>
            <w:vAlign w:val="center"/>
          </w:tcPr>
          <w:p w14:paraId="40C1A967">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w:t>
            </w:r>
          </w:p>
        </w:tc>
        <w:tc>
          <w:tcPr>
            <w:tcW w:w="1249" w:type="dxa"/>
            <w:vAlign w:val="center"/>
          </w:tcPr>
          <w:p w14:paraId="3E95A893">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王冠</w:t>
            </w:r>
          </w:p>
        </w:tc>
        <w:tc>
          <w:tcPr>
            <w:tcW w:w="3310" w:type="dxa"/>
            <w:vAlign w:val="center"/>
          </w:tcPr>
          <w:p w14:paraId="604EA9AB">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济南大学</w:t>
            </w:r>
          </w:p>
        </w:tc>
        <w:tc>
          <w:tcPr>
            <w:tcW w:w="3313" w:type="dxa"/>
            <w:vAlign w:val="center"/>
          </w:tcPr>
          <w:p w14:paraId="7CF13870">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eastAsia="zh-CN"/>
              </w:rPr>
              <w:t>济南大学</w:t>
            </w:r>
          </w:p>
        </w:tc>
      </w:tr>
      <w:tr w14:paraId="6F8850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660" w:type="dxa"/>
            <w:vAlign w:val="center"/>
          </w:tcPr>
          <w:p w14:paraId="3FE4270D">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3</w:t>
            </w:r>
          </w:p>
        </w:tc>
        <w:tc>
          <w:tcPr>
            <w:tcW w:w="1249" w:type="dxa"/>
            <w:vAlign w:val="center"/>
          </w:tcPr>
          <w:p w14:paraId="5B306A42">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武海军</w:t>
            </w:r>
          </w:p>
        </w:tc>
        <w:tc>
          <w:tcPr>
            <w:tcW w:w="3310" w:type="dxa"/>
            <w:vAlign w:val="center"/>
          </w:tcPr>
          <w:p w14:paraId="37DA04EE">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lang w:eastAsia="zh-CN"/>
              </w:rPr>
              <w:t>山东省食品药品审评查验中心</w:t>
            </w:r>
          </w:p>
        </w:tc>
        <w:tc>
          <w:tcPr>
            <w:tcW w:w="3313" w:type="dxa"/>
            <w:vAlign w:val="center"/>
          </w:tcPr>
          <w:p w14:paraId="5A6FAB2C">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eastAsia="zh-CN"/>
              </w:rPr>
              <w:t>山东省食品药品审评查验中心</w:t>
            </w:r>
          </w:p>
        </w:tc>
      </w:tr>
      <w:tr w14:paraId="43BCB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660" w:type="dxa"/>
            <w:vAlign w:val="center"/>
          </w:tcPr>
          <w:p w14:paraId="07AA858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4</w:t>
            </w:r>
          </w:p>
        </w:tc>
        <w:tc>
          <w:tcPr>
            <w:tcW w:w="1249" w:type="dxa"/>
            <w:vAlign w:val="center"/>
          </w:tcPr>
          <w:p w14:paraId="0066AA9A">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徐玉文</w:t>
            </w:r>
          </w:p>
        </w:tc>
        <w:tc>
          <w:tcPr>
            <w:tcW w:w="3310" w:type="dxa"/>
            <w:vAlign w:val="center"/>
          </w:tcPr>
          <w:p w14:paraId="32C30938">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山东省食品药品检验研究院</w:t>
            </w:r>
          </w:p>
        </w:tc>
        <w:tc>
          <w:tcPr>
            <w:tcW w:w="3313" w:type="dxa"/>
            <w:vAlign w:val="center"/>
          </w:tcPr>
          <w:p w14:paraId="3570E699">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eastAsia="zh-CN"/>
              </w:rPr>
              <w:t>山东省食品药品检验研究院</w:t>
            </w:r>
          </w:p>
        </w:tc>
      </w:tr>
      <w:tr w14:paraId="39781A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660" w:type="dxa"/>
            <w:vAlign w:val="center"/>
          </w:tcPr>
          <w:p w14:paraId="6A933F47">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5</w:t>
            </w:r>
          </w:p>
        </w:tc>
        <w:tc>
          <w:tcPr>
            <w:tcW w:w="1249" w:type="dxa"/>
            <w:vAlign w:val="center"/>
          </w:tcPr>
          <w:p w14:paraId="4DC140F2">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郭晓</w:t>
            </w:r>
          </w:p>
        </w:tc>
        <w:tc>
          <w:tcPr>
            <w:tcW w:w="3310" w:type="dxa"/>
            <w:vAlign w:val="center"/>
          </w:tcPr>
          <w:p w14:paraId="519AA77D">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lang w:val="en-US" w:eastAsia="zh-CN"/>
              </w:rPr>
              <w:t>山东京卫制药有限公司</w:t>
            </w:r>
          </w:p>
        </w:tc>
        <w:tc>
          <w:tcPr>
            <w:tcW w:w="3313" w:type="dxa"/>
            <w:vAlign w:val="center"/>
          </w:tcPr>
          <w:p w14:paraId="30D48414">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eastAsia="zh-CN"/>
              </w:rPr>
              <w:t>山东京卫制药有限公司</w:t>
            </w:r>
          </w:p>
        </w:tc>
      </w:tr>
      <w:tr w14:paraId="4C8511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660" w:type="dxa"/>
            <w:vAlign w:val="center"/>
          </w:tcPr>
          <w:p w14:paraId="589CAD7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6</w:t>
            </w:r>
          </w:p>
        </w:tc>
        <w:tc>
          <w:tcPr>
            <w:tcW w:w="1249" w:type="dxa"/>
            <w:vAlign w:val="center"/>
          </w:tcPr>
          <w:p w14:paraId="73F8C550">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王文心</w:t>
            </w:r>
          </w:p>
        </w:tc>
        <w:tc>
          <w:tcPr>
            <w:tcW w:w="3310" w:type="dxa"/>
            <w:vAlign w:val="center"/>
          </w:tcPr>
          <w:p w14:paraId="76D55F14">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eastAsia="宋体" w:cs="Times New Roman"/>
                <w:sz w:val="20"/>
                <w:szCs w:val="20"/>
                <w:lang w:val="en-US" w:eastAsia="zh-CN"/>
              </w:rPr>
              <w:t>山东省食品药品检验研究院</w:t>
            </w:r>
          </w:p>
        </w:tc>
        <w:tc>
          <w:tcPr>
            <w:tcW w:w="3313" w:type="dxa"/>
            <w:vAlign w:val="center"/>
          </w:tcPr>
          <w:p w14:paraId="134FB51E">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highlight w:val="none"/>
              </w:rPr>
            </w:pPr>
            <w:r>
              <w:rPr>
                <w:rFonts w:hint="default" w:ascii="Times New Roman" w:hAnsi="Times New Roman" w:eastAsia="宋体" w:cs="Times New Roman"/>
                <w:sz w:val="20"/>
                <w:szCs w:val="20"/>
                <w:lang w:val="en-US" w:eastAsia="zh-CN"/>
              </w:rPr>
              <w:t>山东省食品药品检验研究院</w:t>
            </w:r>
          </w:p>
        </w:tc>
      </w:tr>
      <w:tr w14:paraId="6173FC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660" w:type="dxa"/>
            <w:vAlign w:val="center"/>
          </w:tcPr>
          <w:p w14:paraId="3B2DFE4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7</w:t>
            </w:r>
          </w:p>
        </w:tc>
        <w:tc>
          <w:tcPr>
            <w:tcW w:w="1249" w:type="dxa"/>
            <w:vAlign w:val="center"/>
          </w:tcPr>
          <w:p w14:paraId="441E9967">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董爱梅</w:t>
            </w:r>
          </w:p>
        </w:tc>
        <w:tc>
          <w:tcPr>
            <w:tcW w:w="3310" w:type="dxa"/>
            <w:vAlign w:val="center"/>
          </w:tcPr>
          <w:p w14:paraId="3F8A0022">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lang w:eastAsia="zh-CN"/>
              </w:rPr>
              <w:t>山东省食品药品审评查验中心</w:t>
            </w:r>
          </w:p>
        </w:tc>
        <w:tc>
          <w:tcPr>
            <w:tcW w:w="3313" w:type="dxa"/>
            <w:vAlign w:val="center"/>
          </w:tcPr>
          <w:p w14:paraId="5F33742F">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eastAsia="zh-CN"/>
              </w:rPr>
              <w:t>山东省食品药品审评查验中心</w:t>
            </w:r>
          </w:p>
        </w:tc>
      </w:tr>
      <w:tr w14:paraId="23A7EE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660" w:type="dxa"/>
            <w:vAlign w:val="center"/>
          </w:tcPr>
          <w:p w14:paraId="31CE8708">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8</w:t>
            </w:r>
          </w:p>
        </w:tc>
        <w:tc>
          <w:tcPr>
            <w:tcW w:w="1249" w:type="dxa"/>
            <w:vAlign w:val="center"/>
          </w:tcPr>
          <w:p w14:paraId="3FB4231F">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于洁玫</w:t>
            </w:r>
          </w:p>
        </w:tc>
        <w:tc>
          <w:tcPr>
            <w:tcW w:w="3310" w:type="dxa"/>
            <w:shd w:val="clear" w:color="auto" w:fill="auto"/>
            <w:vAlign w:val="center"/>
          </w:tcPr>
          <w:p w14:paraId="3EF84C52">
            <w:pPr>
              <w:keepNext w:val="0"/>
              <w:keepLines w:val="0"/>
              <w:pageBreakBefore w:val="0"/>
              <w:widowControl/>
              <w:kinsoku w:val="0"/>
              <w:wordWrap/>
              <w:overflowPunct/>
              <w:topLinePunct w:val="0"/>
              <w:autoSpaceDE w:val="0"/>
              <w:autoSpaceDN w:val="0"/>
              <w:bidi w:val="0"/>
              <w:adjustRightInd w:val="0"/>
              <w:snapToGrid w:val="0"/>
              <w:ind w:left="0" w:leftChars="0"/>
              <w:jc w:val="center"/>
              <w:textAlignment w:val="baseline"/>
              <w:rPr>
                <w:rFonts w:hint="default" w:ascii="Times New Roman" w:hAnsi="Times New Roman" w:eastAsia="宋体" w:cs="Times New Roman"/>
                <w:snapToGrid w:val="0"/>
                <w:color w:val="000000"/>
                <w:kern w:val="0"/>
                <w:sz w:val="20"/>
                <w:szCs w:val="20"/>
                <w:lang w:val="en-US" w:eastAsia="zh-CN" w:bidi="ar-SA"/>
              </w:rPr>
            </w:pPr>
            <w:r>
              <w:rPr>
                <w:rFonts w:hint="default" w:ascii="Times New Roman" w:hAnsi="Times New Roman" w:eastAsia="宋体" w:cs="Times New Roman"/>
                <w:sz w:val="20"/>
                <w:szCs w:val="20"/>
                <w:lang w:val="en-US" w:eastAsia="zh-CN"/>
              </w:rPr>
              <w:t>济南大学</w:t>
            </w:r>
          </w:p>
        </w:tc>
        <w:tc>
          <w:tcPr>
            <w:tcW w:w="3313" w:type="dxa"/>
            <w:shd w:val="clear" w:color="auto" w:fill="auto"/>
            <w:vAlign w:val="center"/>
          </w:tcPr>
          <w:p w14:paraId="47FFA61B">
            <w:pPr>
              <w:keepNext w:val="0"/>
              <w:keepLines w:val="0"/>
              <w:pageBreakBefore w:val="0"/>
              <w:widowControl/>
              <w:kinsoku w:val="0"/>
              <w:wordWrap/>
              <w:overflowPunct/>
              <w:topLinePunct w:val="0"/>
              <w:autoSpaceDE w:val="0"/>
              <w:autoSpaceDN w:val="0"/>
              <w:bidi w:val="0"/>
              <w:adjustRightInd w:val="0"/>
              <w:snapToGrid w:val="0"/>
              <w:ind w:left="0" w:leftChars="0"/>
              <w:jc w:val="center"/>
              <w:textAlignment w:val="baseline"/>
              <w:rPr>
                <w:rFonts w:hint="default" w:ascii="Times New Roman" w:hAnsi="Times New Roman" w:eastAsia="Arial" w:cs="Times New Roman"/>
                <w:snapToGrid w:val="0"/>
                <w:color w:val="000000"/>
                <w:kern w:val="0"/>
                <w:sz w:val="20"/>
                <w:szCs w:val="20"/>
                <w:highlight w:val="none"/>
                <w:lang w:val="en-US" w:eastAsia="en-US" w:bidi="ar-SA"/>
              </w:rPr>
            </w:pPr>
            <w:r>
              <w:rPr>
                <w:rFonts w:hint="default" w:ascii="Times New Roman" w:hAnsi="Times New Roman" w:cs="Times New Roman"/>
                <w:sz w:val="20"/>
                <w:szCs w:val="20"/>
                <w:highlight w:val="none"/>
                <w:lang w:val="en-US" w:eastAsia="zh-CN"/>
              </w:rPr>
              <w:t>济南大学</w:t>
            </w:r>
          </w:p>
        </w:tc>
      </w:tr>
      <w:tr w14:paraId="30D2CE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660" w:type="dxa"/>
            <w:vAlign w:val="center"/>
          </w:tcPr>
          <w:p w14:paraId="1BE45B2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9</w:t>
            </w:r>
          </w:p>
        </w:tc>
        <w:tc>
          <w:tcPr>
            <w:tcW w:w="1249" w:type="dxa"/>
            <w:vAlign w:val="center"/>
          </w:tcPr>
          <w:p w14:paraId="37133176">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聂延君</w:t>
            </w:r>
          </w:p>
        </w:tc>
        <w:tc>
          <w:tcPr>
            <w:tcW w:w="3310" w:type="dxa"/>
            <w:vAlign w:val="center"/>
          </w:tcPr>
          <w:p w14:paraId="16D94511">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eastAsia="宋体" w:cs="Times New Roman"/>
                <w:sz w:val="20"/>
                <w:szCs w:val="20"/>
                <w:lang w:val="en-US" w:eastAsia="zh-CN"/>
              </w:rPr>
              <w:t>山东省食品药品检验研究院</w:t>
            </w:r>
          </w:p>
        </w:tc>
        <w:tc>
          <w:tcPr>
            <w:tcW w:w="3313" w:type="dxa"/>
            <w:vAlign w:val="center"/>
          </w:tcPr>
          <w:p w14:paraId="2F7060AD">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highlight w:val="none"/>
              </w:rPr>
            </w:pPr>
            <w:r>
              <w:rPr>
                <w:rFonts w:hint="default" w:ascii="Times New Roman" w:hAnsi="Times New Roman" w:eastAsia="宋体" w:cs="Times New Roman"/>
                <w:sz w:val="20"/>
                <w:szCs w:val="20"/>
                <w:lang w:val="en-US" w:eastAsia="zh-CN"/>
              </w:rPr>
              <w:t>山东省食品药品检验研究院</w:t>
            </w:r>
          </w:p>
        </w:tc>
      </w:tr>
      <w:tr w14:paraId="16746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660" w:type="dxa"/>
            <w:vAlign w:val="center"/>
          </w:tcPr>
          <w:p w14:paraId="426201E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10</w:t>
            </w:r>
          </w:p>
        </w:tc>
        <w:tc>
          <w:tcPr>
            <w:tcW w:w="1249" w:type="dxa"/>
            <w:vAlign w:val="center"/>
          </w:tcPr>
          <w:p w14:paraId="38725C93">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刘永林</w:t>
            </w:r>
          </w:p>
        </w:tc>
        <w:tc>
          <w:tcPr>
            <w:tcW w:w="3310" w:type="dxa"/>
            <w:vAlign w:val="center"/>
          </w:tcPr>
          <w:p w14:paraId="241C16CC">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青岛理工大学</w:t>
            </w:r>
          </w:p>
        </w:tc>
        <w:tc>
          <w:tcPr>
            <w:tcW w:w="3313" w:type="dxa"/>
            <w:vAlign w:val="center"/>
          </w:tcPr>
          <w:p w14:paraId="1893E4C9">
            <w:pPr>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山东锐顺药业有限公司</w:t>
            </w:r>
          </w:p>
        </w:tc>
      </w:tr>
      <w:tr w14:paraId="5F987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8532" w:type="dxa"/>
            <w:gridSpan w:val="4"/>
            <w:vAlign w:val="top"/>
          </w:tcPr>
          <w:p w14:paraId="10B9FBC9">
            <w:pPr>
              <w:pStyle w:val="12"/>
              <w:spacing w:before="146" w:line="240" w:lineRule="auto"/>
              <w:ind w:left="3643"/>
              <w:rPr>
                <w:rFonts w:hint="default" w:ascii="Times New Roman" w:hAnsi="Times New Roman" w:cs="Times New Roman"/>
                <w:sz w:val="20"/>
                <w:szCs w:val="20"/>
              </w:rPr>
            </w:pPr>
            <w:r>
              <w:rPr>
                <w:rFonts w:hint="default" w:ascii="Times New Roman" w:hAnsi="Times New Roman" w:cs="Times New Roman"/>
                <w:spacing w:val="7"/>
                <w:sz w:val="20"/>
                <w:szCs w:val="20"/>
              </w:rPr>
              <w:t>主要完成单位</w:t>
            </w:r>
          </w:p>
        </w:tc>
      </w:tr>
      <w:tr w14:paraId="15E865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660" w:type="dxa"/>
            <w:vAlign w:val="top"/>
          </w:tcPr>
          <w:p w14:paraId="7AC70278">
            <w:pPr>
              <w:pStyle w:val="12"/>
              <w:spacing w:before="35" w:line="240" w:lineRule="auto"/>
              <w:ind w:left="126"/>
              <w:rPr>
                <w:rFonts w:hint="default" w:ascii="Times New Roman" w:hAnsi="Times New Roman" w:cs="Times New Roman"/>
                <w:sz w:val="20"/>
                <w:szCs w:val="20"/>
              </w:rPr>
            </w:pPr>
            <w:r>
              <w:rPr>
                <w:rFonts w:hint="default" w:ascii="Times New Roman" w:hAnsi="Times New Roman" w:cs="Times New Roman"/>
                <w:spacing w:val="4"/>
                <w:sz w:val="20"/>
                <w:szCs w:val="20"/>
              </w:rPr>
              <w:t>排名</w:t>
            </w:r>
          </w:p>
        </w:tc>
        <w:tc>
          <w:tcPr>
            <w:tcW w:w="7872" w:type="dxa"/>
            <w:gridSpan w:val="3"/>
            <w:vAlign w:val="top"/>
          </w:tcPr>
          <w:p w14:paraId="48B7D098">
            <w:pPr>
              <w:pStyle w:val="12"/>
              <w:spacing w:before="35" w:line="240" w:lineRule="auto"/>
              <w:ind w:left="3521"/>
              <w:rPr>
                <w:rFonts w:hint="default" w:ascii="Times New Roman" w:hAnsi="Times New Roman" w:cs="Times New Roman"/>
                <w:sz w:val="20"/>
                <w:szCs w:val="20"/>
              </w:rPr>
            </w:pPr>
            <w:r>
              <w:rPr>
                <w:rFonts w:hint="default" w:ascii="Times New Roman" w:hAnsi="Times New Roman" w:cs="Times New Roman"/>
                <w:spacing w:val="6"/>
                <w:sz w:val="20"/>
                <w:szCs w:val="20"/>
              </w:rPr>
              <w:t>单位名称</w:t>
            </w:r>
          </w:p>
        </w:tc>
      </w:tr>
      <w:tr w14:paraId="35F5B8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660" w:type="dxa"/>
            <w:vAlign w:val="top"/>
          </w:tcPr>
          <w:p w14:paraId="32FED463">
            <w:pPr>
              <w:spacing w:before="70" w:line="240" w:lineRule="auto"/>
              <w:ind w:left="298"/>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1</w:t>
            </w:r>
          </w:p>
        </w:tc>
        <w:tc>
          <w:tcPr>
            <w:tcW w:w="7872" w:type="dxa"/>
            <w:gridSpan w:val="3"/>
            <w:vAlign w:val="center"/>
          </w:tcPr>
          <w:p w14:paraId="77CF498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山东京卫制药限公司</w:t>
            </w:r>
          </w:p>
        </w:tc>
      </w:tr>
      <w:tr w14:paraId="5BC1F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4E4B2617">
            <w:pPr>
              <w:spacing w:before="88" w:line="240" w:lineRule="auto"/>
              <w:jc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2</w:t>
            </w:r>
          </w:p>
        </w:tc>
        <w:tc>
          <w:tcPr>
            <w:tcW w:w="7872" w:type="dxa"/>
            <w:gridSpan w:val="3"/>
            <w:vAlign w:val="center"/>
          </w:tcPr>
          <w:p w14:paraId="6E8B0AD1">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济南大学</w:t>
            </w:r>
          </w:p>
        </w:tc>
      </w:tr>
      <w:tr w14:paraId="32AD88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427C7DCE">
            <w:pPr>
              <w:spacing w:before="88" w:line="240" w:lineRule="auto"/>
              <w:ind w:left="278"/>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3</w:t>
            </w:r>
          </w:p>
        </w:tc>
        <w:tc>
          <w:tcPr>
            <w:tcW w:w="7872" w:type="dxa"/>
            <w:gridSpan w:val="3"/>
            <w:vAlign w:val="center"/>
          </w:tcPr>
          <w:p w14:paraId="376AF18E">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lang w:eastAsia="zh-CN"/>
              </w:rPr>
              <w:t>山东省食品药品审评查验中心</w:t>
            </w:r>
          </w:p>
        </w:tc>
      </w:tr>
      <w:tr w14:paraId="2310E3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74B12528">
            <w:pPr>
              <w:spacing w:before="88" w:line="240" w:lineRule="auto"/>
              <w:ind w:left="278"/>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4</w:t>
            </w:r>
          </w:p>
        </w:tc>
        <w:tc>
          <w:tcPr>
            <w:tcW w:w="7872" w:type="dxa"/>
            <w:gridSpan w:val="3"/>
            <w:vAlign w:val="center"/>
          </w:tcPr>
          <w:p w14:paraId="3A2957C5">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山东省食品药品检验研究院</w:t>
            </w:r>
          </w:p>
        </w:tc>
      </w:tr>
      <w:tr w14:paraId="27C073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3" w:hRule="atLeast"/>
        </w:trPr>
        <w:tc>
          <w:tcPr>
            <w:tcW w:w="660" w:type="dxa"/>
            <w:vAlign w:val="top"/>
          </w:tcPr>
          <w:p w14:paraId="28B4C13F">
            <w:pPr>
              <w:spacing w:before="88" w:line="240" w:lineRule="auto"/>
              <w:ind w:left="278"/>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5</w:t>
            </w:r>
          </w:p>
        </w:tc>
        <w:tc>
          <w:tcPr>
            <w:tcW w:w="7872" w:type="dxa"/>
            <w:gridSpan w:val="3"/>
            <w:vAlign w:val="center"/>
          </w:tcPr>
          <w:p w14:paraId="0609DAF4">
            <w:pPr>
              <w:pStyle w:val="12"/>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default" w:ascii="Times New Roman" w:hAnsi="Times New Roman" w:cs="Times New Roman"/>
                <w:sz w:val="20"/>
                <w:szCs w:val="20"/>
              </w:rPr>
            </w:pPr>
            <w:r>
              <w:rPr>
                <w:rFonts w:hint="default" w:ascii="Times New Roman" w:hAnsi="Times New Roman" w:cs="Times New Roman"/>
                <w:sz w:val="20"/>
                <w:szCs w:val="20"/>
              </w:rPr>
              <w:t>山东锐顺药业有限公司</w:t>
            </w:r>
          </w:p>
        </w:tc>
      </w:tr>
    </w:tbl>
    <w:p w14:paraId="6AD918F6">
      <w:pPr>
        <w:spacing w:line="240" w:lineRule="auto"/>
        <w:rPr>
          <w:rFonts w:hint="default" w:ascii="Times New Roman" w:hAnsi="Times New Roman" w:cs="Times New Roman"/>
          <w:sz w:val="21"/>
        </w:rPr>
      </w:pPr>
    </w:p>
    <w:sectPr>
      <w:footerReference r:id="rId5" w:type="default"/>
      <w:pgSz w:w="11906" w:h="16839"/>
      <w:pgMar w:top="1174" w:right="1684" w:bottom="1157" w:left="1684" w:header="0" w:footer="119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483C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73B20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73B209">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59B24B4"/>
    <w:rsid w:val="0CCB047F"/>
    <w:rsid w:val="10973B61"/>
    <w:rsid w:val="12B40728"/>
    <w:rsid w:val="157B4FA6"/>
    <w:rsid w:val="160C3C6F"/>
    <w:rsid w:val="194A5C14"/>
    <w:rsid w:val="1B926E6E"/>
    <w:rsid w:val="1BD528D3"/>
    <w:rsid w:val="21C84A65"/>
    <w:rsid w:val="23C6058D"/>
    <w:rsid w:val="284B2378"/>
    <w:rsid w:val="2ECB6A58"/>
    <w:rsid w:val="340A6274"/>
    <w:rsid w:val="381902C4"/>
    <w:rsid w:val="3BE04BEB"/>
    <w:rsid w:val="43A7763B"/>
    <w:rsid w:val="47C14A44"/>
    <w:rsid w:val="49033566"/>
    <w:rsid w:val="4C7D71E6"/>
    <w:rsid w:val="53BF59F0"/>
    <w:rsid w:val="56135281"/>
    <w:rsid w:val="61F03972"/>
    <w:rsid w:val="6F8577E8"/>
    <w:rsid w:val="70904746"/>
    <w:rsid w:val="78D06865"/>
    <w:rsid w:val="7CA979E5"/>
    <w:rsid w:val="7EAE3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Plain Text"/>
    <w:basedOn w:val="1"/>
    <w:qFormat/>
    <w:uiPriority w:val="0"/>
    <w:pPr>
      <w:spacing w:line="360" w:lineRule="auto"/>
      <w:ind w:firstLine="480" w:firstLineChars="200"/>
    </w:pPr>
    <w:rPr>
      <w:rFonts w:ascii="仿宋_GB2312"/>
      <w:sz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semiHidden/>
    <w:unhideWhenUsed/>
    <w:qFormat/>
    <w:uiPriority w:val="99"/>
    <w:pPr>
      <w:spacing w:beforeAutospacing="1" w:afterAutospacing="1"/>
      <w:ind w:left="0"/>
      <w:jc w:val="left"/>
    </w:pPr>
    <w:rPr>
      <w:kern w:val="0"/>
      <w:sz w:val="24"/>
    </w:rPr>
  </w:style>
  <w:style w:type="table" w:styleId="8">
    <w:name w:val="Table Grid"/>
    <w:basedOn w:val="7"/>
    <w:qFormat/>
    <w:uiPriority w:val="5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78c0a2d4-4eec-469a-86aa-b71e57eaae81</errorID>
      <errorWord>风流人流</errorWord>
      <group>L1_Knowledge</group>
      <groupName>知识性问题</groupName>
      <ability>L2_Knowledge</ability>
      <abilityName>其他知识</abilityName>
      <candidateList>
        <item>风流人物</item>
      </candidateList>
      <explain/>
      <paraID>7B7360DA</paraID>
      <start>76</start>
      <end>80</end>
      <status>unmodified</status>
      <modifiedWord/>
      <trackRevisions>false</trackRevisions>
    </reviewItem>
    <reviewItem>
      <errorID>ef8dedac-bf17-40d9-98cb-d634a8141982</errorID>
      <errorWord>业</errorWord>
      <group>L1_Word</group>
      <groupName>字词问题</groupName>
      <ability>L2_Typo</ability>
      <abilityName>字词错误</abilityName>
      <candidateList>
        <item>业在</item>
      </candidateList>
      <explain/>
      <paraID>7B7360DA</paraID>
      <start>185</start>
      <end>186</end>
      <status>unmodified</status>
      <modifiedWord/>
      <trackRevisions>false</trackRevisions>
    </reviewItem>
    <reviewItem>
      <errorID>c996030c-8114-41b6-a4ab-36416c99be6f</errorID>
      <errorWord>国家发改委</errorWord>
      <group>L1_Knowledge</group>
      <groupName>知识性问题</groupName>
      <ability>L2_Knowledge</ability>
      <abilityName>其他知识</abilityName>
      <candidateList>
        <item>国家发展改革委</item>
      </candidateList>
      <explain/>
      <paraID> C410069</paraID>
      <start>7</start>
      <end>12</end>
      <status>unmodified</status>
      <modifiedWord/>
      <trackRevisions>false</trackRevisions>
    </reviewItem>
    <reviewItem>
      <errorID>523df4b4-54c7-4b0c-b147-b171aaedabee</errorID>
      <errorWord>亟需</errorWord>
      <group>L1_Word</group>
      <groupName>字词问题</groupName>
      <ability>L2_Typo</ability>
      <abilityName>字词错误</abilityName>
      <candidateList>
        <item>亟须</item>
      </candidateList>
      <explain/>
      <paraID>101D9B2B</paraID>
      <start>31</start>
      <end>33</end>
      <status>unmodified</status>
      <modifiedWord/>
      <trackRevisions>false</trackRevisions>
    </reviewItem>
    <reviewItem>
      <errorID>35efa540-62d9-487d-9f20-f3a37ccb8fb1</errorID>
      <errorWord>风流人流</errorWord>
      <group>L1_Knowledge</group>
      <groupName>知识性问题</groupName>
      <ability>L2_Knowledge</ability>
      <abilityName>其他知识</abilityName>
      <candidateList>
        <item>风流人物</item>
      </candidateList>
      <explain/>
      <paraID>101D9B2B</paraID>
      <start>123</start>
      <end>127</end>
      <status>unmodified</status>
      <modifiedWord/>
      <trackRevisions>false</trackRevisions>
    </reviewItem>
    <reviewItem>
      <errorID>a72e9f46-549e-4b82-9611-2db6cc21e44d</errorID>
      <errorWord>风流人流</errorWord>
      <group>L1_Knowledge</group>
      <groupName>知识性问题</groupName>
      <ability>L2_Knowledge</ability>
      <abilityName>其他知识</abilityName>
      <candidateList>
        <item>风流人物</item>
      </candidateList>
      <explain/>
      <paraID>  FA16C8</paraID>
      <start>14</start>
      <end>18</end>
      <status>unmodified</status>
      <modifiedWord/>
      <trackRevisions>false</trackRevisions>
    </reviewItem>
    <reviewItem>
      <errorID>9098a82b-f942-42af-a60d-30583c6c3507</errorID>
      <errorWord>风流人流</errorWord>
      <group>L1_Knowledge</group>
      <groupName>知识性问题</groupName>
      <ability>L2_Knowledge</ability>
      <abilityName>其他知识</abilityName>
      <candidateList>
        <item>风流人物</item>
      </candidateList>
      <explain/>
      <paraID>727D0E6E</paraID>
      <start>8</start>
      <end>12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87e12-db15-472b-b7b6-271ff6d3f3fa}">
  <ds:schemaRefs/>
</ds:datastoreItem>
</file>

<file path=docProps/app.xml><?xml version="1.0" encoding="utf-8"?>
<Properties xmlns="http://schemas.openxmlformats.org/officeDocument/2006/extended-properties" xmlns:vt="http://schemas.openxmlformats.org/officeDocument/2006/docPropsVTypes">
  <Pages>5</Pages>
  <Words>2584</Words>
  <Characters>2836</Characters>
  <TotalTime>0</TotalTime>
  <ScaleCrop>false</ScaleCrop>
  <LinksUpToDate>false</LinksUpToDate>
  <CharactersWithSpaces>2837</CharactersWithSpaces>
  <Application>WPS Office_12.1.0.22215_F1E327BC-269C-435d-A152-05C5408002CA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2025-04-01T11:14:00Z</dcterms:created>
  <dc:creator>LIUFANGFANG</dc:creator>
  <cp:lastModifiedBy>遨游八极</cp:lastModifiedBy>
  <dcterms:modified xsi:type="dcterms:W3CDTF">2026-07-20T00:39:17Z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2026-07-16T15:08:53Z</vt:filetime>
  </property>
  <property fmtid="{D5CDD505-2E9C-101B-9397-08002B2CF9AE}" pid="4" name="KSOTemplateDocerSaveRecord">
    <vt:lpwstr>eyJoZGlkIjoiODFkZmUxZDY4NGNjNDg5Yjk5ZWJlMDA3MDYwMDRhYWYiLCJ1c2VySWQiOiIzMTM2NDQzMTgifQ==</vt:lpwstr>
  </property>
  <property fmtid="{D5CDD505-2E9C-101B-9397-08002B2CF9AE}" pid="5" name="KSOProductBuildVer">
    <vt:lpwstr>2052-12.1.0.22215</vt:lpwstr>
  </property>
  <property fmtid="{D5CDD505-2E9C-101B-9397-08002B2CF9AE}" pid="6" name="ICV">
    <vt:lpwstr>34EEA7FF10144711B3598EF876BE8BF3_12</vt:lpwstr>
  </property>
</Properties>
</file>