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3F24">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仿宋_GB2312" w:hAnsi="仿宋_GB2312" w:eastAsia="仿宋_GB2312" w:cs="仿宋_GB2312"/>
          <w:b/>
          <w:bCs/>
          <w:sz w:val="32"/>
          <w:szCs w:val="32"/>
          <w:lang w:val="en-US" w:eastAsia="zh-CN"/>
        </w:rPr>
        <w:t>一、奖种</w:t>
      </w:r>
      <w:r>
        <w:rPr>
          <w:rFonts w:hint="eastAsia" w:ascii="Times New Roman" w:hAnsi="Times New Roman" w:eastAsia="仿宋" w:cs="Times New Roman"/>
          <w:b/>
          <w:bCs/>
          <w:sz w:val="32"/>
          <w:szCs w:val="32"/>
          <w:lang w:val="en-US" w:eastAsia="zh-CN"/>
        </w:rPr>
        <w:t>：</w:t>
      </w:r>
      <w:r>
        <w:rPr>
          <w:rFonts w:hint="eastAsia" w:ascii="Times New Roman" w:hAnsi="Times New Roman" w:eastAsia="仿宋" w:cs="Times New Roman"/>
          <w:sz w:val="32"/>
          <w:szCs w:val="32"/>
          <w:lang w:val="en-US" w:eastAsia="zh-CN"/>
        </w:rPr>
        <w:t>自然科学奖</w:t>
      </w:r>
    </w:p>
    <w:p w14:paraId="55339C0E">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二、项目名称：</w:t>
      </w:r>
      <w:r>
        <w:rPr>
          <w:rFonts w:hint="eastAsia" w:ascii="Times New Roman" w:hAnsi="Times New Roman" w:eastAsia="仿宋" w:cs="Times New Roman"/>
          <w:sz w:val="32"/>
          <w:szCs w:val="32"/>
          <w:lang w:val="en-US" w:eastAsia="zh-CN"/>
        </w:rPr>
        <w:t>生物界面互作导向的缓控释载体农药构建及精准靶向调控理论</w:t>
      </w:r>
    </w:p>
    <w:p w14:paraId="2230934D">
      <w:pPr>
        <w:widowControl/>
        <w:shd w:val="clear" w:color="auto" w:fill="FFFFFF"/>
        <w:spacing w:line="360" w:lineRule="auto"/>
        <w:ind w:firstLine="643" w:firstLineChars="200"/>
        <w:jc w:val="both"/>
        <w:rPr>
          <w:rFonts w:hint="default"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三、提名者：</w:t>
      </w:r>
      <w:r>
        <w:rPr>
          <w:rFonts w:hint="eastAsia" w:ascii="Times New Roman" w:hAnsi="Times New Roman" w:eastAsia="仿宋" w:cs="Times New Roman"/>
          <w:sz w:val="32"/>
          <w:szCs w:val="32"/>
          <w:lang w:val="en-US" w:eastAsia="zh-CN"/>
        </w:rPr>
        <w:t>柏连阳，湖南省农业科学院，中国工程院院士，植物保护</w:t>
      </w:r>
    </w:p>
    <w:p w14:paraId="2E34D1D4">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四、提名意见：</w:t>
      </w:r>
      <w:r>
        <w:rPr>
          <w:rFonts w:hint="eastAsia" w:ascii="Times New Roman" w:hAnsi="Times New Roman" w:eastAsia="仿宋" w:cs="Times New Roman"/>
          <w:sz w:val="32"/>
          <w:szCs w:val="32"/>
          <w:lang w:val="en-US" w:eastAsia="zh-CN"/>
        </w:rPr>
        <w:t>当前，新农药创制难度大，非专利农药竞争激烈，亟需提升制剂精细加工与精准使用水平。针对现有农药缓控释制剂研发理论欠缺，性能与病虫防治需求不匹配等问题，该项目深入探讨药剂-作物-有害生物剂量传递规律，1）解析了农药微粒与靶标界面亲和互作机理，建立了柔性微囊设计构筑理论，解决了药剂向靶标递送效率低的问题。2）基于有害生物-寄主互作，发掘了多重响应靶向控制开关，解决了药剂不易进入有害生物体的问题。3）创新两阶段控释系统，率先提出多尺度组合微囊策略，解决了释放与有害生物发生规律不匹配的问题。研究成果丰富了农药缓控释制剂加工理论，发表SCI论文29篇（占全球领域8.36%），5篇代表性论文中4篇为自然指数期刊论文。</w:t>
      </w:r>
    </w:p>
    <w:p w14:paraId="65B19135">
      <w:pPr>
        <w:widowControl/>
        <w:shd w:val="clear" w:color="auto" w:fill="FFFFFF"/>
        <w:spacing w:line="360" w:lineRule="auto"/>
        <w:ind w:firstLine="643" w:firstLineChars="200"/>
        <w:jc w:val="both"/>
        <w:rPr>
          <w:rFonts w:hint="default"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五、提名等级：</w:t>
      </w:r>
      <w:r>
        <w:rPr>
          <w:rFonts w:hint="eastAsia" w:ascii="Times New Roman" w:hAnsi="Times New Roman" w:eastAsia="仿宋" w:cs="Times New Roman"/>
          <w:sz w:val="32"/>
          <w:szCs w:val="32"/>
          <w:lang w:val="en-US" w:eastAsia="zh-CN"/>
        </w:rPr>
        <w:t>二等奖</w:t>
      </w:r>
    </w:p>
    <w:p w14:paraId="692091A3">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六、项目简介：</w:t>
      </w:r>
      <w:bookmarkStart w:id="1" w:name="_GoBack"/>
      <w:bookmarkEnd w:id="1"/>
    </w:p>
    <w:p w14:paraId="30B82273">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农药是现代农业不可或缺的重要生产资料，在有害生物防控和保产稳产方面发挥重要作用。当前，新化合物创制难度和成本日益增加，尤其是非专利农药面临激烈市场竞争的形势下，立足现有品种，深入研究农药制剂精细加工和精准使用原理，指导产品开发和科学使用，对于提高农药制剂核心竞争力，助推农化行业高质量发展具有重要的现实意义。剂型缺陷是导致农药利用率低的首要因素，尽管微囊缓控释技术及产品在提高农药环境适应性和改善效果方面发挥了重要作用，但仍存在“对靶递送效率低”、“有害生物靶向性差”、“速效与持效难兼顾”等诸多问题。本项目系统开展了“药剂-作物-有害生物”之间的剂量传递、转移、损耗规律及其与防控有效性的定量关系研究，取得了如下成果：</w:t>
      </w:r>
    </w:p>
    <w:p w14:paraId="7BCA98B8">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1、解析了农药微粒与靶标作物界面的亲和互作机理，提出了柔性微囊设计构筑的理论，解决了缓控释载体农药向靶标作物递送效率低的问题。</w:t>
      </w:r>
    </w:p>
    <w:p w14:paraId="71DB75E0">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揭示了刚性强和壳层过于致密是当前界面聚合农药微囊叶面利用率低的根本原因，突破了传统微囊质量标准认知的局限。探明了控制囊壳柔性的影响因素及其作用机制，从载药体系设计构筑和对靶界面行为调控两个层次建立了系统调控的方法论，提出柔性化微囊和凝胶制剂开发策略，增强了药剂与靶面的亲和互作性能，显著提升了农药利用率和田间应用效果。</w:t>
      </w:r>
    </w:p>
    <w:p w14:paraId="6A46E922">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2、基于病虫等有害生物与寄主互作关系，发掘了具有多重响应特征的选择性靶向控制开关，提高了农药对非靶标生物的安全性。</w:t>
      </w:r>
    </w:p>
    <w:p w14:paraId="6CC8D4D2">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基于小地老虎等鳞翅目害虫肠道碱性环境和分泌漆酶消化食物的生物学特性，设计构筑了可响应pH、漆酶、淀粉酶等刺激的天然产物木质素基新型囊壳材料，实现精准可控释放，高效氯氟氰菊酯等药剂半衰期延长4倍以上，田间防效比传统乳油剂型提高30%以上；同时，利用捕食性天敌昆虫不取食植物的特点，显著提升了缓控释载体农药的靶向性和生物选择性。将此策略扩展到卵菌病害防治领域，指导了辣椒疫病防治靶向药剂的开发和应用。</w:t>
      </w:r>
    </w:p>
    <w:p w14:paraId="488E5293">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3、创新了两阶段农药控释系统，率先提出“多尺度组合微囊”研发</w:t>
      </w:r>
      <w:r>
        <w:rPr>
          <w:rFonts w:hint="default" w:ascii="Times New Roman" w:hAnsi="Times New Roman" w:eastAsia="仿宋" w:cs="Times New Roman"/>
          <w:sz w:val="32"/>
          <w:szCs w:val="32"/>
          <w:lang w:val="en-US" w:eastAsia="zh-CN"/>
        </w:rPr>
        <w:t>策略</w:t>
      </w:r>
      <w:r>
        <w:rPr>
          <w:rFonts w:hint="eastAsia" w:ascii="Times New Roman" w:hAnsi="Times New Roman" w:eastAsia="仿宋" w:cs="Times New Roman"/>
          <w:sz w:val="32"/>
          <w:szCs w:val="32"/>
          <w:lang w:val="en-US" w:eastAsia="zh-CN"/>
        </w:rPr>
        <w:t>，平衡速效和持效，解决了缓控释载体农药释放行为与有害生物发生规律匹配不精准的问题。</w:t>
      </w:r>
    </w:p>
    <w:p w14:paraId="584744F9">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揭示了缓控释载体农药尺度调控机制，发掘了简便易控的微囊粒径分布控制途径。提出速效和持效兼顾的“两性平衡”理论，以微囊尺度精准调控为突破口，创新了多种兼具速效与持效农药微囊负载体系的构建方法，优选的高效氯氟氰菊酯等农药微囊在同等用量下防治叶部害虫的利用率提高2-3倍。</w:t>
      </w:r>
    </w:p>
    <w:p w14:paraId="766E7611">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项目研究期间，第一完成人入选泰山产业领军人才、第二完成人入选中国科协青年人才托举工程。团队围绕缓控释载体农药构建及精准靶向调控开展系统研究，在农药微囊领域发表SCI论文29篇，占该领域全球总论文数量（347篇）的8.36%，论文数量排名全球第1、3、4、5（并列）的学者均为本项目完成人。所列5篇代表性论文中，4篇发表于Adv Funct Mater、ACS Nano等自然指数期刊。研究论文被Adv Mater、Nat Commun等国际著名期刊广泛引用，单篇他引100次以上论文3篇。配位组装微囊化技术以专利许可的方式转化落地，技术交易额50万元。25%吡唑醚菌酯微囊悬浮剂等制剂产品取得农业农村部颁发的农药登记证。</w:t>
      </w:r>
    </w:p>
    <w:p w14:paraId="26F69E82">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sectPr>
          <w:pgSz w:w="11906" w:h="16838"/>
          <w:pgMar w:top="1440" w:right="1800" w:bottom="1440" w:left="1800" w:header="851" w:footer="992" w:gutter="0"/>
          <w:cols w:space="425" w:num="1"/>
          <w:docGrid w:type="lines" w:linePitch="312" w:charSpace="0"/>
        </w:sectPr>
      </w:pPr>
    </w:p>
    <w:p w14:paraId="62BAF6C1">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七、代表性论文专著目录：</w:t>
      </w:r>
      <w:r>
        <w:rPr>
          <w:rFonts w:hint="eastAsia" w:ascii="Times New Roman" w:hAnsi="Times New Roman" w:eastAsia="仿宋" w:cs="Times New Roman"/>
          <w:sz w:val="32"/>
          <w:szCs w:val="32"/>
          <w:lang w:val="en-US" w:eastAsia="zh-CN"/>
        </w:rPr>
        <w:t>（提名书一致，“作者”列或“发明人”列加粗标注出完成人）</w:t>
      </w:r>
    </w:p>
    <w:tbl>
      <w:tblPr>
        <w:tblStyle w:val="3"/>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828"/>
        <w:gridCol w:w="837"/>
        <w:gridCol w:w="2074"/>
        <w:gridCol w:w="1044"/>
        <w:gridCol w:w="1023"/>
        <w:gridCol w:w="851"/>
        <w:gridCol w:w="850"/>
        <w:gridCol w:w="1134"/>
        <w:gridCol w:w="1134"/>
      </w:tblGrid>
      <w:tr w14:paraId="26212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noWrap w:val="0"/>
            <w:vAlign w:val="center"/>
          </w:tcPr>
          <w:p w14:paraId="7F7FA6B1">
            <w:pPr>
              <w:pStyle w:val="2"/>
              <w:spacing w:after="50" w:line="440" w:lineRule="exact"/>
              <w:ind w:firstLine="0"/>
              <w:jc w:val="center"/>
              <w:outlineLvl w:val="9"/>
              <w:rPr>
                <w:rFonts w:ascii="Times New Roman"/>
                <w:color w:val="000000"/>
                <w:sz w:val="18"/>
                <w:szCs w:val="18"/>
              </w:rPr>
            </w:pPr>
            <w:bookmarkStart w:id="0" w:name="_Hlk91583588"/>
            <w:r>
              <w:rPr>
                <w:rFonts w:ascii="Times New Roman"/>
                <w:color w:val="000000"/>
                <w:sz w:val="18"/>
                <w:szCs w:val="18"/>
              </w:rPr>
              <w:t>序号</w:t>
            </w:r>
          </w:p>
        </w:tc>
        <w:tc>
          <w:tcPr>
            <w:tcW w:w="2591" w:type="dxa"/>
            <w:noWrap w:val="0"/>
            <w:vAlign w:val="center"/>
          </w:tcPr>
          <w:p w14:paraId="05C416D1">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论文（专著）名称</w:t>
            </w:r>
          </w:p>
        </w:tc>
        <w:tc>
          <w:tcPr>
            <w:tcW w:w="1517" w:type="dxa"/>
            <w:noWrap w:val="0"/>
            <w:vAlign w:val="center"/>
          </w:tcPr>
          <w:p w14:paraId="3D3DBCB6">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刊名（出版社）</w:t>
            </w:r>
          </w:p>
        </w:tc>
        <w:tc>
          <w:tcPr>
            <w:tcW w:w="828" w:type="dxa"/>
            <w:noWrap w:val="0"/>
            <w:vAlign w:val="top"/>
          </w:tcPr>
          <w:p w14:paraId="391D25C8">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Doi</w:t>
            </w:r>
          </w:p>
          <w:p w14:paraId="4DC56DC7">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/ISSN（ISBN）</w:t>
            </w:r>
          </w:p>
        </w:tc>
        <w:tc>
          <w:tcPr>
            <w:tcW w:w="837" w:type="dxa"/>
            <w:noWrap w:val="0"/>
            <w:vAlign w:val="center"/>
          </w:tcPr>
          <w:p w14:paraId="3E4704F1">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发表（出版）时间</w:t>
            </w:r>
          </w:p>
        </w:tc>
        <w:tc>
          <w:tcPr>
            <w:tcW w:w="2074" w:type="dxa"/>
            <w:noWrap w:val="0"/>
            <w:vAlign w:val="center"/>
          </w:tcPr>
          <w:p w14:paraId="236BEF3F">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作者（按刊物发表顺序）</w:t>
            </w:r>
          </w:p>
        </w:tc>
        <w:tc>
          <w:tcPr>
            <w:tcW w:w="1044" w:type="dxa"/>
            <w:noWrap w:val="0"/>
            <w:vAlign w:val="center"/>
          </w:tcPr>
          <w:p w14:paraId="12173598">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通讯作者（含共同）</w:t>
            </w:r>
          </w:p>
        </w:tc>
        <w:tc>
          <w:tcPr>
            <w:tcW w:w="1023" w:type="dxa"/>
            <w:noWrap w:val="0"/>
            <w:vAlign w:val="center"/>
          </w:tcPr>
          <w:p w14:paraId="2C847888">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第一作者（含共同）</w:t>
            </w:r>
          </w:p>
        </w:tc>
        <w:tc>
          <w:tcPr>
            <w:tcW w:w="851" w:type="dxa"/>
            <w:noWrap w:val="0"/>
            <w:vAlign w:val="center"/>
          </w:tcPr>
          <w:p w14:paraId="2B24CDD9">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他引</w:t>
            </w:r>
          </w:p>
          <w:p w14:paraId="4A49FCD0">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总次数</w:t>
            </w:r>
          </w:p>
        </w:tc>
        <w:tc>
          <w:tcPr>
            <w:tcW w:w="850" w:type="dxa"/>
            <w:noWrap w:val="0"/>
            <w:vAlign w:val="center"/>
          </w:tcPr>
          <w:p w14:paraId="37124345">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检索</w:t>
            </w:r>
          </w:p>
          <w:p w14:paraId="167DB16F">
            <w:pPr>
              <w:pStyle w:val="2"/>
              <w:spacing w:after="50" w:line="440" w:lineRule="exact"/>
              <w:ind w:firstLine="0"/>
              <w:jc w:val="center"/>
              <w:outlineLvl w:val="9"/>
              <w:rPr>
                <w:rFonts w:ascii="Times New Roman"/>
                <w:color w:val="000000"/>
                <w:sz w:val="18"/>
                <w:szCs w:val="18"/>
              </w:rPr>
            </w:pPr>
            <w:r>
              <w:rPr>
                <w:rFonts w:ascii="Times New Roman"/>
                <w:color w:val="000000"/>
                <w:sz w:val="18"/>
                <w:szCs w:val="18"/>
              </w:rPr>
              <w:t>数据库</w:t>
            </w:r>
          </w:p>
        </w:tc>
        <w:tc>
          <w:tcPr>
            <w:tcW w:w="1134" w:type="dxa"/>
            <w:noWrap w:val="0"/>
            <w:vAlign w:val="center"/>
          </w:tcPr>
          <w:p w14:paraId="2BE729E3">
            <w:pPr>
              <w:pStyle w:val="2"/>
              <w:spacing w:after="50" w:line="440" w:lineRule="exact"/>
              <w:ind w:firstLine="0"/>
              <w:jc w:val="center"/>
              <w:outlineLvl w:val="9"/>
              <w:rPr>
                <w:rFonts w:ascii="Times New Roman"/>
                <w:sz w:val="18"/>
                <w:szCs w:val="18"/>
              </w:rPr>
            </w:pPr>
            <w:r>
              <w:rPr>
                <w:rFonts w:ascii="Times New Roman"/>
                <w:sz w:val="18"/>
                <w:szCs w:val="18"/>
              </w:rPr>
              <w:t>通讯/一作（主编）是否为第一完成人</w:t>
            </w:r>
          </w:p>
        </w:tc>
        <w:tc>
          <w:tcPr>
            <w:tcW w:w="1134" w:type="dxa"/>
            <w:noWrap w:val="0"/>
            <w:vAlign w:val="top"/>
          </w:tcPr>
          <w:p w14:paraId="3577D15C">
            <w:pPr>
              <w:pStyle w:val="2"/>
              <w:spacing w:after="50" w:line="440" w:lineRule="exact"/>
              <w:ind w:firstLine="0"/>
              <w:jc w:val="center"/>
              <w:outlineLvl w:val="9"/>
              <w:rPr>
                <w:rFonts w:ascii="Times New Roman"/>
                <w:sz w:val="18"/>
                <w:szCs w:val="18"/>
              </w:rPr>
            </w:pPr>
            <w:r>
              <w:rPr>
                <w:rFonts w:ascii="Times New Roman"/>
                <w:sz w:val="18"/>
                <w:szCs w:val="18"/>
              </w:rPr>
              <w:t>第一署名单位是否为第一完成单位</w:t>
            </w:r>
            <w:bookmarkEnd w:id="0"/>
          </w:p>
        </w:tc>
      </w:tr>
      <w:tr w14:paraId="3FEA4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90" w:hRule="exact"/>
        </w:trPr>
        <w:tc>
          <w:tcPr>
            <w:tcW w:w="400" w:type="dxa"/>
            <w:noWrap w:val="0"/>
            <w:vAlign w:val="center"/>
          </w:tcPr>
          <w:p w14:paraId="0FA806FD">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1</w:t>
            </w:r>
          </w:p>
        </w:tc>
        <w:tc>
          <w:tcPr>
            <w:tcW w:w="2591" w:type="dxa"/>
            <w:noWrap w:val="0"/>
            <w:vAlign w:val="center"/>
          </w:tcPr>
          <w:p w14:paraId="7BA1A964">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Using coordination</w:t>
            </w:r>
            <w:r>
              <w:rPr>
                <w:rFonts w:hint="eastAsia" w:ascii="Times New Roman"/>
                <w:color w:val="000000"/>
                <w:sz w:val="21"/>
                <w:szCs w:val="28"/>
                <w:lang w:val="en-US" w:eastAsia="zh-CN"/>
              </w:rPr>
              <w:t xml:space="preserve"> </w:t>
            </w:r>
            <w:r>
              <w:rPr>
                <w:rFonts w:hint="eastAsia" w:ascii="Times New Roman"/>
                <w:color w:val="000000"/>
                <w:sz w:val="21"/>
                <w:szCs w:val="28"/>
              </w:rPr>
              <w:t>assembly as the</w:t>
            </w:r>
            <w:r>
              <w:rPr>
                <w:rFonts w:hint="eastAsia" w:ascii="Times New Roman"/>
                <w:color w:val="000000"/>
                <w:sz w:val="21"/>
                <w:szCs w:val="28"/>
                <w:lang w:val="en-US" w:eastAsia="zh-CN"/>
              </w:rPr>
              <w:t xml:space="preserve"> </w:t>
            </w:r>
            <w:r>
              <w:rPr>
                <w:rFonts w:hint="eastAsia" w:ascii="Times New Roman"/>
                <w:color w:val="000000"/>
                <w:sz w:val="21"/>
                <w:szCs w:val="28"/>
              </w:rPr>
              <w:t>microencapsulation</w:t>
            </w:r>
            <w:r>
              <w:rPr>
                <w:rFonts w:hint="eastAsia" w:ascii="Times New Roman"/>
                <w:color w:val="000000"/>
                <w:sz w:val="21"/>
                <w:szCs w:val="28"/>
                <w:lang w:val="en-US" w:eastAsia="zh-CN"/>
              </w:rPr>
              <w:t xml:space="preserve"> </w:t>
            </w:r>
            <w:r>
              <w:rPr>
                <w:rFonts w:hint="eastAsia" w:ascii="Times New Roman"/>
                <w:color w:val="000000"/>
                <w:sz w:val="21"/>
                <w:szCs w:val="28"/>
              </w:rPr>
              <w:t>strategy to promote the</w:t>
            </w:r>
            <w:r>
              <w:rPr>
                <w:rFonts w:hint="eastAsia" w:ascii="Times New Roman"/>
                <w:color w:val="000000"/>
                <w:sz w:val="21"/>
                <w:szCs w:val="28"/>
                <w:lang w:val="en-US" w:eastAsia="zh-CN"/>
              </w:rPr>
              <w:t xml:space="preserve"> </w:t>
            </w:r>
            <w:r>
              <w:rPr>
                <w:rFonts w:hint="eastAsia" w:ascii="Times New Roman"/>
                <w:color w:val="000000"/>
                <w:sz w:val="21"/>
                <w:szCs w:val="28"/>
              </w:rPr>
              <w:t>efficacy and environmental</w:t>
            </w:r>
            <w:r>
              <w:rPr>
                <w:rFonts w:hint="eastAsia" w:ascii="Times New Roman"/>
                <w:color w:val="000000"/>
                <w:sz w:val="21"/>
                <w:szCs w:val="28"/>
                <w:lang w:val="en-US" w:eastAsia="zh-CN"/>
              </w:rPr>
              <w:t xml:space="preserve"> </w:t>
            </w:r>
            <w:r>
              <w:rPr>
                <w:rFonts w:hint="eastAsia" w:ascii="Times New Roman"/>
                <w:color w:val="000000"/>
                <w:sz w:val="21"/>
                <w:szCs w:val="28"/>
              </w:rPr>
              <w:t>safety of</w:t>
            </w:r>
            <w:r>
              <w:rPr>
                <w:rFonts w:hint="eastAsia" w:ascii="Times New Roman"/>
                <w:color w:val="000000"/>
                <w:sz w:val="21"/>
                <w:szCs w:val="28"/>
                <w:lang w:val="en-US" w:eastAsia="zh-CN"/>
              </w:rPr>
              <w:t xml:space="preserve"> </w:t>
            </w:r>
            <w:r>
              <w:rPr>
                <w:rFonts w:hint="eastAsia" w:ascii="Times New Roman"/>
                <w:color w:val="000000"/>
                <w:sz w:val="21"/>
                <w:szCs w:val="28"/>
              </w:rPr>
              <w:t>pyraclostrobin</w:t>
            </w:r>
          </w:p>
        </w:tc>
        <w:tc>
          <w:tcPr>
            <w:tcW w:w="1517" w:type="dxa"/>
            <w:noWrap w:val="0"/>
            <w:vAlign w:val="center"/>
          </w:tcPr>
          <w:p w14:paraId="5FF2C77D">
            <w:pPr>
              <w:pStyle w:val="2"/>
              <w:spacing w:after="50" w:line="320" w:lineRule="exact"/>
              <w:ind w:firstLine="0"/>
              <w:jc w:val="center"/>
              <w:outlineLvl w:val="9"/>
              <w:rPr>
                <w:rFonts w:hint="eastAsia" w:ascii="Times New Roman"/>
                <w:color w:val="000000"/>
                <w:sz w:val="21"/>
                <w:szCs w:val="28"/>
              </w:rPr>
            </w:pPr>
            <w:r>
              <w:rPr>
                <w:rFonts w:hint="eastAsia" w:ascii="Times New Roman"/>
                <w:color w:val="000000"/>
                <w:sz w:val="21"/>
                <w:szCs w:val="28"/>
              </w:rPr>
              <w:t>Advanced</w:t>
            </w:r>
          </w:p>
          <w:p w14:paraId="64031663">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Functional Materials</w:t>
            </w:r>
          </w:p>
        </w:tc>
        <w:tc>
          <w:tcPr>
            <w:tcW w:w="828" w:type="dxa"/>
            <w:noWrap w:val="0"/>
            <w:vAlign w:val="center"/>
          </w:tcPr>
          <w:p w14:paraId="6105F110">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1616-301X</w:t>
            </w:r>
          </w:p>
        </w:tc>
        <w:tc>
          <w:tcPr>
            <w:tcW w:w="837" w:type="dxa"/>
            <w:noWrap w:val="0"/>
            <w:vAlign w:val="center"/>
          </w:tcPr>
          <w:p w14:paraId="1E93A7CC">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2017-08-04</w:t>
            </w:r>
          </w:p>
        </w:tc>
        <w:tc>
          <w:tcPr>
            <w:tcW w:w="2074" w:type="dxa"/>
            <w:noWrap w:val="0"/>
            <w:vAlign w:val="center"/>
          </w:tcPr>
          <w:p w14:paraId="05AA32F4">
            <w:pPr>
              <w:pStyle w:val="2"/>
              <w:spacing w:after="50" w:line="320" w:lineRule="exact"/>
              <w:ind w:firstLine="0"/>
              <w:jc w:val="center"/>
              <w:outlineLvl w:val="9"/>
              <w:rPr>
                <w:rFonts w:ascii="Times New Roman"/>
                <w:color w:val="000000"/>
                <w:sz w:val="21"/>
                <w:szCs w:val="28"/>
              </w:rPr>
            </w:pPr>
            <w:r>
              <w:rPr>
                <w:rFonts w:hint="eastAsia" w:ascii="Times New Roman"/>
                <w:b/>
                <w:bCs/>
                <w:color w:val="000000"/>
                <w:sz w:val="21"/>
                <w:szCs w:val="28"/>
              </w:rPr>
              <w:t>Bei-xing Li, Wei-chang Wang</w:t>
            </w:r>
            <w:r>
              <w:rPr>
                <w:rFonts w:hint="eastAsia" w:ascii="Times New Roman"/>
                <w:color w:val="000000"/>
                <w:sz w:val="21"/>
                <w:szCs w:val="28"/>
              </w:rPr>
              <w:t xml:space="preserve">, Xian-peng Zhang, </w:t>
            </w:r>
            <w:r>
              <w:rPr>
                <w:rFonts w:hint="eastAsia" w:ascii="Times New Roman"/>
                <w:b/>
                <w:bCs/>
                <w:color w:val="000000"/>
                <w:sz w:val="21"/>
                <w:szCs w:val="28"/>
              </w:rPr>
              <w:t>Da-xia Zhang</w:t>
            </w:r>
            <w:r>
              <w:rPr>
                <w:rFonts w:hint="eastAsia" w:ascii="Times New Roman"/>
                <w:color w:val="000000"/>
                <w:sz w:val="21"/>
                <w:szCs w:val="28"/>
              </w:rPr>
              <w:t xml:space="preserve">, Yu-peng Ren, Yun Gao, </w:t>
            </w:r>
            <w:r>
              <w:rPr>
                <w:rFonts w:hint="eastAsia" w:ascii="Times New Roman"/>
                <w:b/>
                <w:bCs/>
                <w:color w:val="000000"/>
                <w:sz w:val="21"/>
                <w:szCs w:val="28"/>
              </w:rPr>
              <w:t>Wei Mu, Feng Liu</w:t>
            </w:r>
          </w:p>
        </w:tc>
        <w:tc>
          <w:tcPr>
            <w:tcW w:w="1044" w:type="dxa"/>
            <w:noWrap w:val="0"/>
            <w:vAlign w:val="center"/>
          </w:tcPr>
          <w:p w14:paraId="766D3FDB">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Feng Liu</w:t>
            </w:r>
          </w:p>
        </w:tc>
        <w:tc>
          <w:tcPr>
            <w:tcW w:w="1023" w:type="dxa"/>
            <w:noWrap w:val="0"/>
            <w:vAlign w:val="center"/>
          </w:tcPr>
          <w:p w14:paraId="5623D4A3">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rPr>
              <w:t>Bei-xing Li, Wei-chang</w:t>
            </w:r>
          </w:p>
        </w:tc>
        <w:tc>
          <w:tcPr>
            <w:tcW w:w="851" w:type="dxa"/>
            <w:noWrap w:val="0"/>
            <w:vAlign w:val="center"/>
          </w:tcPr>
          <w:p w14:paraId="16A91523">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106</w:t>
            </w:r>
          </w:p>
        </w:tc>
        <w:tc>
          <w:tcPr>
            <w:tcW w:w="850" w:type="dxa"/>
            <w:noWrap w:val="0"/>
            <w:vAlign w:val="center"/>
          </w:tcPr>
          <w:p w14:paraId="69910A53">
            <w:pPr>
              <w:pStyle w:val="2"/>
              <w:spacing w:after="50" w:line="320" w:lineRule="exact"/>
              <w:ind w:firstLine="0"/>
              <w:jc w:val="center"/>
              <w:outlineLvl w:val="9"/>
              <w:rPr>
                <w:rFonts w:hint="eastAsia" w:ascii="Times New Roman" w:eastAsia="宋体"/>
                <w:color w:val="000000"/>
                <w:sz w:val="21"/>
                <w:szCs w:val="28"/>
                <w:lang w:val="en-US" w:eastAsia="zh-CN"/>
              </w:rPr>
            </w:pPr>
            <w:r>
              <w:rPr>
                <w:rFonts w:hint="eastAsia" w:ascii="Times New Roman"/>
                <w:color w:val="000000"/>
                <w:sz w:val="21"/>
                <w:szCs w:val="28"/>
                <w:lang w:val="en-US" w:eastAsia="zh-CN"/>
              </w:rPr>
              <w:t>WOS</w:t>
            </w:r>
          </w:p>
        </w:tc>
        <w:tc>
          <w:tcPr>
            <w:tcW w:w="1134" w:type="dxa"/>
            <w:noWrap w:val="0"/>
            <w:vAlign w:val="center"/>
          </w:tcPr>
          <w:p w14:paraId="74847B74">
            <w:pPr>
              <w:pStyle w:val="2"/>
              <w:spacing w:after="50" w:line="320" w:lineRule="exact"/>
              <w:ind w:firstLine="0"/>
              <w:jc w:val="center"/>
              <w:outlineLvl w:val="9"/>
              <w:rPr>
                <w:rFonts w:hint="eastAsia" w:ascii="Times New Roman" w:eastAsia="宋体"/>
                <w:color w:val="000000"/>
                <w:sz w:val="21"/>
                <w:szCs w:val="28"/>
                <w:lang w:val="en-US" w:eastAsia="zh-CN"/>
              </w:rPr>
            </w:pPr>
            <w:r>
              <w:rPr>
                <w:rFonts w:hint="eastAsia" w:ascii="Times New Roman"/>
                <w:color w:val="000000"/>
                <w:sz w:val="21"/>
                <w:szCs w:val="28"/>
                <w:lang w:val="en-US" w:eastAsia="zh-CN"/>
              </w:rPr>
              <w:t>是</w:t>
            </w:r>
          </w:p>
        </w:tc>
        <w:tc>
          <w:tcPr>
            <w:tcW w:w="1134" w:type="dxa"/>
            <w:noWrap w:val="0"/>
            <w:vAlign w:val="center"/>
          </w:tcPr>
          <w:p w14:paraId="76519CBC">
            <w:pPr>
              <w:pStyle w:val="2"/>
              <w:spacing w:after="50" w:line="320" w:lineRule="exact"/>
              <w:ind w:firstLine="0"/>
              <w:jc w:val="center"/>
              <w:outlineLvl w:val="9"/>
              <w:rPr>
                <w:rFonts w:hint="eastAsia" w:ascii="Times New Roman" w:eastAsia="宋体"/>
                <w:color w:val="000000"/>
                <w:sz w:val="21"/>
                <w:szCs w:val="28"/>
                <w:lang w:val="en-US" w:eastAsia="zh-CN"/>
              </w:rPr>
            </w:pPr>
            <w:r>
              <w:rPr>
                <w:rFonts w:hint="eastAsia" w:ascii="Times New Roman"/>
                <w:color w:val="000000"/>
                <w:sz w:val="21"/>
                <w:szCs w:val="28"/>
                <w:lang w:val="en-US" w:eastAsia="zh-CN"/>
              </w:rPr>
              <w:t>是</w:t>
            </w:r>
          </w:p>
        </w:tc>
      </w:tr>
      <w:tr w14:paraId="37A80A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67" w:hRule="exact"/>
        </w:trPr>
        <w:tc>
          <w:tcPr>
            <w:tcW w:w="400" w:type="dxa"/>
            <w:noWrap w:val="0"/>
            <w:vAlign w:val="center"/>
          </w:tcPr>
          <w:p w14:paraId="541993AE">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2</w:t>
            </w:r>
          </w:p>
        </w:tc>
        <w:tc>
          <w:tcPr>
            <w:tcW w:w="2591" w:type="dxa"/>
            <w:noWrap w:val="0"/>
            <w:vAlign w:val="center"/>
          </w:tcPr>
          <w:p w14:paraId="389FADDC">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Core/Shell Dual-Responsive Nanocarriers via Iron-Mineralized Electrostatic Self-Assembly for Precise Pesticide Delivery</w:t>
            </w:r>
          </w:p>
        </w:tc>
        <w:tc>
          <w:tcPr>
            <w:tcW w:w="1517" w:type="dxa"/>
            <w:noWrap w:val="0"/>
            <w:vAlign w:val="center"/>
          </w:tcPr>
          <w:p w14:paraId="4CCD254A">
            <w:pPr>
              <w:pStyle w:val="2"/>
              <w:spacing w:after="50" w:line="320" w:lineRule="exact"/>
              <w:ind w:firstLine="0"/>
              <w:jc w:val="center"/>
              <w:outlineLvl w:val="9"/>
              <w:rPr>
                <w:rFonts w:hint="eastAsia" w:ascii="Times New Roman"/>
                <w:color w:val="000000"/>
                <w:sz w:val="21"/>
                <w:szCs w:val="28"/>
              </w:rPr>
            </w:pPr>
            <w:r>
              <w:rPr>
                <w:rFonts w:hint="eastAsia" w:ascii="Times New Roman"/>
                <w:color w:val="000000"/>
                <w:sz w:val="21"/>
                <w:szCs w:val="28"/>
              </w:rPr>
              <w:t>Advanced</w:t>
            </w:r>
          </w:p>
          <w:p w14:paraId="2EB87CBA">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Functional Materials</w:t>
            </w:r>
          </w:p>
        </w:tc>
        <w:tc>
          <w:tcPr>
            <w:tcW w:w="828" w:type="dxa"/>
            <w:noWrap w:val="0"/>
            <w:vAlign w:val="center"/>
          </w:tcPr>
          <w:p w14:paraId="3693FBE9">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1616-301X</w:t>
            </w:r>
          </w:p>
        </w:tc>
        <w:tc>
          <w:tcPr>
            <w:tcW w:w="837" w:type="dxa"/>
            <w:noWrap w:val="0"/>
            <w:vAlign w:val="center"/>
          </w:tcPr>
          <w:p w14:paraId="52D361AE">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2021-08</w:t>
            </w:r>
          </w:p>
        </w:tc>
        <w:tc>
          <w:tcPr>
            <w:tcW w:w="2074" w:type="dxa"/>
            <w:noWrap w:val="0"/>
            <w:vAlign w:val="center"/>
          </w:tcPr>
          <w:p w14:paraId="6F5C3CFD">
            <w:pPr>
              <w:pStyle w:val="2"/>
              <w:spacing w:after="50" w:line="320" w:lineRule="exact"/>
              <w:ind w:firstLine="0"/>
              <w:jc w:val="center"/>
              <w:outlineLvl w:val="9"/>
              <w:rPr>
                <w:rFonts w:ascii="Times New Roman"/>
                <w:color w:val="000000"/>
                <w:sz w:val="21"/>
                <w:szCs w:val="28"/>
              </w:rPr>
            </w:pPr>
            <w:r>
              <w:rPr>
                <w:rFonts w:hint="eastAsia" w:ascii="Times New Roman"/>
                <w:b/>
                <w:bCs/>
                <w:color w:val="000000"/>
                <w:sz w:val="21"/>
                <w:szCs w:val="28"/>
              </w:rPr>
              <w:t>Da-xia Zhang</w:t>
            </w:r>
            <w:r>
              <w:rPr>
                <w:rFonts w:hint="eastAsia" w:ascii="Times New Roman"/>
                <w:color w:val="000000"/>
                <w:sz w:val="21"/>
                <w:szCs w:val="28"/>
              </w:rPr>
              <w:t xml:space="preserve">, Jiang Du, Rui Wang, </w:t>
            </w:r>
            <w:r>
              <w:rPr>
                <w:rFonts w:hint="eastAsia" w:ascii="Times New Roman"/>
                <w:b/>
                <w:bCs/>
                <w:color w:val="000000"/>
                <w:sz w:val="21"/>
                <w:szCs w:val="28"/>
              </w:rPr>
              <w:t>Jian Luo</w:t>
            </w:r>
            <w:r>
              <w:rPr>
                <w:rFonts w:hint="eastAsia" w:ascii="Times New Roman"/>
                <w:color w:val="000000"/>
                <w:sz w:val="21"/>
                <w:szCs w:val="28"/>
              </w:rPr>
              <w:t xml:space="preserve">, Tong-fang Jing, </w:t>
            </w:r>
            <w:r>
              <w:rPr>
                <w:rFonts w:hint="eastAsia" w:ascii="Times New Roman"/>
                <w:b/>
                <w:bCs/>
                <w:color w:val="000000"/>
                <w:sz w:val="21"/>
                <w:szCs w:val="28"/>
              </w:rPr>
              <w:t>Bei-xing Li, Wei Mu, Feng Liu, Youming Hou</w:t>
            </w:r>
          </w:p>
        </w:tc>
        <w:tc>
          <w:tcPr>
            <w:tcW w:w="1044" w:type="dxa"/>
            <w:noWrap w:val="0"/>
            <w:vAlign w:val="center"/>
          </w:tcPr>
          <w:p w14:paraId="2EBDEBA6">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Feng Liu, Youming Hou</w:t>
            </w:r>
          </w:p>
        </w:tc>
        <w:tc>
          <w:tcPr>
            <w:tcW w:w="1023" w:type="dxa"/>
            <w:noWrap w:val="0"/>
            <w:vAlign w:val="center"/>
          </w:tcPr>
          <w:p w14:paraId="22D3161D">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Da-xia Zhang</w:t>
            </w:r>
          </w:p>
        </w:tc>
        <w:tc>
          <w:tcPr>
            <w:tcW w:w="851" w:type="dxa"/>
            <w:noWrap w:val="0"/>
            <w:vAlign w:val="center"/>
          </w:tcPr>
          <w:p w14:paraId="084C1EFD">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104</w:t>
            </w:r>
          </w:p>
        </w:tc>
        <w:tc>
          <w:tcPr>
            <w:tcW w:w="850" w:type="dxa"/>
            <w:noWrap w:val="0"/>
            <w:vAlign w:val="center"/>
          </w:tcPr>
          <w:p w14:paraId="454D5483">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lang w:val="en-US" w:eastAsia="zh-CN"/>
              </w:rPr>
              <w:t>WOS</w:t>
            </w:r>
          </w:p>
        </w:tc>
        <w:tc>
          <w:tcPr>
            <w:tcW w:w="1134" w:type="dxa"/>
            <w:noWrap w:val="0"/>
            <w:vAlign w:val="center"/>
          </w:tcPr>
          <w:p w14:paraId="72FA5824">
            <w:pPr>
              <w:pStyle w:val="2"/>
              <w:spacing w:after="50" w:line="320" w:lineRule="exact"/>
              <w:ind w:firstLine="0"/>
              <w:jc w:val="center"/>
              <w:outlineLvl w:val="9"/>
              <w:rPr>
                <w:rFonts w:hint="eastAsia" w:ascii="Times New Roman" w:eastAsia="宋体"/>
                <w:color w:val="000000"/>
                <w:sz w:val="21"/>
                <w:szCs w:val="28"/>
                <w:lang w:val="en-US" w:eastAsia="zh-CN"/>
              </w:rPr>
            </w:pPr>
            <w:r>
              <w:rPr>
                <w:rFonts w:hint="eastAsia" w:ascii="Times New Roman"/>
                <w:color w:val="000000"/>
                <w:sz w:val="21"/>
                <w:szCs w:val="28"/>
                <w:lang w:val="en-US" w:eastAsia="zh-CN"/>
              </w:rPr>
              <w:t>是</w:t>
            </w:r>
          </w:p>
        </w:tc>
        <w:tc>
          <w:tcPr>
            <w:tcW w:w="1134" w:type="dxa"/>
            <w:noWrap w:val="0"/>
            <w:vAlign w:val="center"/>
          </w:tcPr>
          <w:p w14:paraId="4C8CA78F">
            <w:pPr>
              <w:pStyle w:val="2"/>
              <w:spacing w:after="50" w:line="320" w:lineRule="exact"/>
              <w:ind w:firstLine="0"/>
              <w:jc w:val="center"/>
              <w:outlineLvl w:val="9"/>
              <w:rPr>
                <w:rFonts w:hint="eastAsia" w:ascii="Times New Roman" w:eastAsia="宋体"/>
                <w:color w:val="000000"/>
                <w:sz w:val="21"/>
                <w:szCs w:val="28"/>
                <w:lang w:val="en-US" w:eastAsia="zh-CN"/>
              </w:rPr>
            </w:pPr>
            <w:r>
              <w:rPr>
                <w:rFonts w:hint="eastAsia" w:ascii="Times New Roman"/>
                <w:color w:val="000000"/>
                <w:sz w:val="21"/>
                <w:szCs w:val="28"/>
                <w:lang w:val="en-US" w:eastAsia="zh-CN"/>
              </w:rPr>
              <w:t>否</w:t>
            </w:r>
          </w:p>
        </w:tc>
      </w:tr>
      <w:tr w14:paraId="41FBF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4" w:hRule="exact"/>
        </w:trPr>
        <w:tc>
          <w:tcPr>
            <w:tcW w:w="400" w:type="dxa"/>
            <w:noWrap w:val="0"/>
            <w:vAlign w:val="center"/>
          </w:tcPr>
          <w:p w14:paraId="3BDF9AA1">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3</w:t>
            </w:r>
          </w:p>
        </w:tc>
        <w:tc>
          <w:tcPr>
            <w:tcW w:w="2591" w:type="dxa"/>
            <w:noWrap w:val="0"/>
            <w:vAlign w:val="center"/>
          </w:tcPr>
          <w:p w14:paraId="32F1809A">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Self-Assembled Degradable Nanogels Provide</w:t>
            </w:r>
            <w:r>
              <w:rPr>
                <w:rFonts w:hint="eastAsia" w:ascii="Times New Roman"/>
                <w:color w:val="000000"/>
                <w:sz w:val="21"/>
                <w:szCs w:val="28"/>
                <w:lang w:val="en-US" w:eastAsia="zh-CN"/>
              </w:rPr>
              <w:t xml:space="preserve"> </w:t>
            </w:r>
            <w:r>
              <w:rPr>
                <w:rFonts w:hint="eastAsia" w:ascii="Times New Roman"/>
                <w:color w:val="000000"/>
                <w:sz w:val="21"/>
                <w:szCs w:val="28"/>
              </w:rPr>
              <w:t>Foliar Affinity and Pinning for Pesticide</w:t>
            </w:r>
            <w:r>
              <w:rPr>
                <w:rFonts w:hint="eastAsia" w:ascii="Times New Roman"/>
                <w:color w:val="000000"/>
                <w:sz w:val="21"/>
                <w:szCs w:val="28"/>
                <w:lang w:val="en-US" w:eastAsia="zh-CN"/>
              </w:rPr>
              <w:t xml:space="preserve"> </w:t>
            </w:r>
            <w:r>
              <w:rPr>
                <w:rFonts w:hint="eastAsia" w:ascii="Times New Roman"/>
                <w:color w:val="000000"/>
                <w:sz w:val="21"/>
                <w:szCs w:val="28"/>
              </w:rPr>
              <w:t>Delivery by Flexibility and Adhesiveness</w:t>
            </w:r>
            <w:r>
              <w:rPr>
                <w:rFonts w:hint="eastAsia" w:ascii="Times New Roman"/>
                <w:color w:val="000000"/>
                <w:sz w:val="21"/>
                <w:szCs w:val="28"/>
                <w:lang w:val="en-US" w:eastAsia="zh-CN"/>
              </w:rPr>
              <w:t xml:space="preserve"> </w:t>
            </w:r>
            <w:r>
              <w:rPr>
                <w:rFonts w:hint="eastAsia" w:ascii="Times New Roman"/>
                <w:color w:val="000000"/>
                <w:sz w:val="21"/>
                <w:szCs w:val="28"/>
              </w:rPr>
              <w:t>Adjustment</w:t>
            </w:r>
          </w:p>
        </w:tc>
        <w:tc>
          <w:tcPr>
            <w:tcW w:w="1517" w:type="dxa"/>
            <w:noWrap w:val="0"/>
            <w:vAlign w:val="center"/>
          </w:tcPr>
          <w:p w14:paraId="6300D9B2">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ACS Nano</w:t>
            </w:r>
          </w:p>
        </w:tc>
        <w:tc>
          <w:tcPr>
            <w:tcW w:w="828" w:type="dxa"/>
            <w:noWrap w:val="0"/>
            <w:vAlign w:val="center"/>
          </w:tcPr>
          <w:p w14:paraId="39E30D3F">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1936-0851</w:t>
            </w:r>
          </w:p>
        </w:tc>
        <w:tc>
          <w:tcPr>
            <w:tcW w:w="837" w:type="dxa"/>
            <w:noWrap w:val="0"/>
            <w:vAlign w:val="center"/>
          </w:tcPr>
          <w:p w14:paraId="367B5462">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2021-09-28</w:t>
            </w:r>
          </w:p>
        </w:tc>
        <w:tc>
          <w:tcPr>
            <w:tcW w:w="2074" w:type="dxa"/>
            <w:noWrap w:val="0"/>
            <w:vAlign w:val="center"/>
          </w:tcPr>
          <w:p w14:paraId="4A3FC5F3">
            <w:pPr>
              <w:pStyle w:val="2"/>
              <w:spacing w:after="50" w:line="320" w:lineRule="exact"/>
              <w:ind w:firstLine="0"/>
              <w:jc w:val="center"/>
              <w:outlineLvl w:val="9"/>
              <w:rPr>
                <w:rFonts w:ascii="Times New Roman"/>
                <w:color w:val="000000"/>
                <w:sz w:val="21"/>
                <w:szCs w:val="28"/>
              </w:rPr>
            </w:pPr>
            <w:r>
              <w:rPr>
                <w:rFonts w:hint="eastAsia" w:ascii="Times New Roman"/>
                <w:b/>
                <w:bCs/>
                <w:color w:val="000000"/>
                <w:sz w:val="21"/>
                <w:szCs w:val="28"/>
              </w:rPr>
              <w:t>Jian Luo</w:t>
            </w:r>
            <w:r>
              <w:rPr>
                <w:rFonts w:hint="eastAsia" w:ascii="Times New Roman"/>
                <w:color w:val="000000"/>
                <w:sz w:val="21"/>
                <w:szCs w:val="28"/>
              </w:rPr>
              <w:t xml:space="preserve">, Yue Gao, Yukun Liu, Xueping Huang, </w:t>
            </w:r>
            <w:r>
              <w:rPr>
                <w:rFonts w:hint="eastAsia" w:ascii="Times New Roman"/>
                <w:b/>
                <w:bCs/>
                <w:color w:val="000000"/>
                <w:sz w:val="21"/>
                <w:szCs w:val="28"/>
              </w:rPr>
              <w:t>Da-xia Zhang</w:t>
            </w:r>
            <w:r>
              <w:rPr>
                <w:rFonts w:hint="eastAsia" w:ascii="Times New Roman"/>
                <w:color w:val="000000"/>
                <w:sz w:val="21"/>
                <w:szCs w:val="28"/>
              </w:rPr>
              <w:t xml:space="preserve">, Haichao Cao, Tongfang Jing, </w:t>
            </w:r>
            <w:r>
              <w:rPr>
                <w:rFonts w:hint="eastAsia" w:ascii="Times New Roman"/>
                <w:b/>
                <w:bCs/>
                <w:color w:val="000000"/>
                <w:sz w:val="21"/>
                <w:szCs w:val="28"/>
              </w:rPr>
              <w:t>Feng Liu,</w:t>
            </w:r>
            <w:r>
              <w:rPr>
                <w:rFonts w:hint="eastAsia" w:ascii="Times New Roman"/>
                <w:b/>
                <w:bCs/>
                <w:color w:val="000000"/>
                <w:sz w:val="21"/>
                <w:szCs w:val="28"/>
                <w:lang w:val="en-US" w:eastAsia="zh-CN"/>
              </w:rPr>
              <w:t xml:space="preserve"> </w:t>
            </w:r>
            <w:r>
              <w:rPr>
                <w:rFonts w:hint="eastAsia" w:ascii="Times New Roman"/>
                <w:b/>
                <w:bCs/>
                <w:color w:val="000000"/>
                <w:sz w:val="21"/>
                <w:szCs w:val="28"/>
              </w:rPr>
              <w:t>Beixing Li</w:t>
            </w:r>
          </w:p>
        </w:tc>
        <w:tc>
          <w:tcPr>
            <w:tcW w:w="1044" w:type="dxa"/>
            <w:noWrap w:val="0"/>
            <w:vAlign w:val="center"/>
          </w:tcPr>
          <w:p w14:paraId="2B4AF72E">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Feng Liu,</w:t>
            </w:r>
            <w:r>
              <w:rPr>
                <w:rFonts w:hint="eastAsia" w:ascii="Times New Roman"/>
                <w:color w:val="000000"/>
                <w:sz w:val="21"/>
                <w:szCs w:val="28"/>
                <w:lang w:val="en-US" w:eastAsia="zh-CN"/>
              </w:rPr>
              <w:t xml:space="preserve"> </w:t>
            </w:r>
            <w:r>
              <w:rPr>
                <w:rFonts w:hint="eastAsia" w:ascii="Times New Roman"/>
                <w:color w:val="000000"/>
                <w:sz w:val="21"/>
                <w:szCs w:val="28"/>
              </w:rPr>
              <w:t>Beixing Li</w:t>
            </w:r>
          </w:p>
        </w:tc>
        <w:tc>
          <w:tcPr>
            <w:tcW w:w="1023" w:type="dxa"/>
            <w:noWrap w:val="0"/>
            <w:vAlign w:val="center"/>
          </w:tcPr>
          <w:p w14:paraId="1CBC5CD3">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Jian Luo</w:t>
            </w:r>
          </w:p>
        </w:tc>
        <w:tc>
          <w:tcPr>
            <w:tcW w:w="851" w:type="dxa"/>
            <w:noWrap w:val="0"/>
            <w:vAlign w:val="center"/>
          </w:tcPr>
          <w:p w14:paraId="45A309E0">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120</w:t>
            </w:r>
          </w:p>
        </w:tc>
        <w:tc>
          <w:tcPr>
            <w:tcW w:w="850" w:type="dxa"/>
            <w:noWrap w:val="0"/>
            <w:vAlign w:val="center"/>
          </w:tcPr>
          <w:p w14:paraId="7B0C922E">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WOS</w:t>
            </w:r>
          </w:p>
        </w:tc>
        <w:tc>
          <w:tcPr>
            <w:tcW w:w="1134" w:type="dxa"/>
            <w:noWrap w:val="0"/>
            <w:vAlign w:val="center"/>
          </w:tcPr>
          <w:p w14:paraId="413877A5">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c>
          <w:tcPr>
            <w:tcW w:w="1134" w:type="dxa"/>
            <w:noWrap w:val="0"/>
            <w:vAlign w:val="center"/>
          </w:tcPr>
          <w:p w14:paraId="06ABB55C">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r>
      <w:tr w14:paraId="6E6B8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99" w:hRule="exact"/>
        </w:trPr>
        <w:tc>
          <w:tcPr>
            <w:tcW w:w="400" w:type="dxa"/>
            <w:noWrap w:val="0"/>
            <w:vAlign w:val="center"/>
          </w:tcPr>
          <w:p w14:paraId="552E5270">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4</w:t>
            </w:r>
          </w:p>
        </w:tc>
        <w:tc>
          <w:tcPr>
            <w:tcW w:w="2591" w:type="dxa"/>
            <w:noWrap w:val="0"/>
            <w:vAlign w:val="center"/>
          </w:tcPr>
          <w:p w14:paraId="472FDB29">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Interfacial Polymerization Depth Mediated by</w:t>
            </w:r>
            <w:r>
              <w:rPr>
                <w:rFonts w:hint="eastAsia" w:ascii="Times New Roman"/>
                <w:color w:val="000000"/>
                <w:sz w:val="21"/>
                <w:szCs w:val="28"/>
                <w:lang w:val="en-US" w:eastAsia="zh-CN"/>
              </w:rPr>
              <w:t xml:space="preserve"> </w:t>
            </w:r>
            <w:r>
              <w:rPr>
                <w:rFonts w:hint="eastAsia" w:ascii="Times New Roman"/>
                <w:color w:val="000000"/>
                <w:sz w:val="21"/>
                <w:szCs w:val="28"/>
              </w:rPr>
              <w:t>the Shuttle Effect Regulating the Application</w:t>
            </w:r>
            <w:r>
              <w:rPr>
                <w:rFonts w:hint="eastAsia" w:ascii="Times New Roman"/>
                <w:color w:val="000000"/>
                <w:sz w:val="21"/>
                <w:szCs w:val="28"/>
                <w:lang w:val="en-US" w:eastAsia="zh-CN"/>
              </w:rPr>
              <w:t xml:space="preserve"> </w:t>
            </w:r>
            <w:r>
              <w:rPr>
                <w:rFonts w:hint="eastAsia" w:ascii="Times New Roman"/>
                <w:color w:val="000000"/>
                <w:sz w:val="21"/>
                <w:szCs w:val="28"/>
              </w:rPr>
              <w:t>Performance of Pesticide-Loaded</w:t>
            </w:r>
            <w:r>
              <w:rPr>
                <w:rFonts w:hint="eastAsia" w:ascii="Times New Roman"/>
                <w:color w:val="000000"/>
                <w:sz w:val="21"/>
                <w:szCs w:val="28"/>
                <w:lang w:val="en-US" w:eastAsia="zh-CN"/>
              </w:rPr>
              <w:t xml:space="preserve"> </w:t>
            </w:r>
            <w:r>
              <w:rPr>
                <w:rFonts w:hint="eastAsia" w:ascii="Times New Roman"/>
                <w:color w:val="000000"/>
                <w:sz w:val="21"/>
                <w:szCs w:val="28"/>
              </w:rPr>
              <w:t>Microcapsules</w:t>
            </w:r>
          </w:p>
        </w:tc>
        <w:tc>
          <w:tcPr>
            <w:tcW w:w="1517" w:type="dxa"/>
            <w:noWrap w:val="0"/>
            <w:vAlign w:val="center"/>
          </w:tcPr>
          <w:p w14:paraId="09A2E2E6">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lang w:val="en-US" w:eastAsia="zh-CN"/>
              </w:rPr>
              <w:t>ACS Nano</w:t>
            </w:r>
          </w:p>
        </w:tc>
        <w:tc>
          <w:tcPr>
            <w:tcW w:w="828" w:type="dxa"/>
            <w:noWrap w:val="0"/>
            <w:vAlign w:val="center"/>
          </w:tcPr>
          <w:p w14:paraId="5D8ABFC0">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1936-0851</w:t>
            </w:r>
          </w:p>
        </w:tc>
        <w:tc>
          <w:tcPr>
            <w:tcW w:w="837" w:type="dxa"/>
            <w:noWrap w:val="0"/>
            <w:vAlign w:val="center"/>
          </w:tcPr>
          <w:p w14:paraId="66719FC1">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2023-10-06</w:t>
            </w:r>
          </w:p>
        </w:tc>
        <w:tc>
          <w:tcPr>
            <w:tcW w:w="2074" w:type="dxa"/>
            <w:noWrap w:val="0"/>
            <w:vAlign w:val="center"/>
          </w:tcPr>
          <w:p w14:paraId="0943869F">
            <w:pPr>
              <w:pStyle w:val="2"/>
              <w:spacing w:after="50" w:line="320" w:lineRule="exact"/>
              <w:ind w:firstLine="0"/>
              <w:jc w:val="center"/>
              <w:outlineLvl w:val="9"/>
              <w:rPr>
                <w:rFonts w:ascii="Times New Roman"/>
                <w:color w:val="000000"/>
                <w:sz w:val="21"/>
                <w:szCs w:val="28"/>
              </w:rPr>
            </w:pPr>
            <w:r>
              <w:rPr>
                <w:rFonts w:hint="eastAsia" w:ascii="Times New Roman"/>
                <w:b/>
                <w:bCs/>
                <w:color w:val="000000"/>
                <w:sz w:val="21"/>
                <w:szCs w:val="28"/>
              </w:rPr>
              <w:t>Tao Zhang</w:t>
            </w:r>
            <w:r>
              <w:rPr>
                <w:rFonts w:hint="eastAsia" w:ascii="Times New Roman"/>
                <w:color w:val="000000"/>
                <w:sz w:val="21"/>
                <w:szCs w:val="28"/>
              </w:rPr>
              <w:t xml:space="preserve">, Hongzhen Sun, Liyuan Yang, Peng Zhang, Yaozhong Zhang, Jingbo Bai, </w:t>
            </w:r>
            <w:r>
              <w:rPr>
                <w:rFonts w:hint="eastAsia" w:ascii="Times New Roman"/>
                <w:b/>
                <w:bCs/>
                <w:color w:val="000000"/>
                <w:sz w:val="21"/>
                <w:szCs w:val="28"/>
              </w:rPr>
              <w:t>Feng Liu, Da-xia Zhang</w:t>
            </w:r>
          </w:p>
        </w:tc>
        <w:tc>
          <w:tcPr>
            <w:tcW w:w="1044" w:type="dxa"/>
            <w:noWrap w:val="0"/>
            <w:vAlign w:val="center"/>
          </w:tcPr>
          <w:p w14:paraId="32D5E12F">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Feng Liu, Da-xia Zhang</w:t>
            </w:r>
          </w:p>
        </w:tc>
        <w:tc>
          <w:tcPr>
            <w:tcW w:w="1023" w:type="dxa"/>
            <w:noWrap w:val="0"/>
            <w:vAlign w:val="center"/>
          </w:tcPr>
          <w:p w14:paraId="2DD48CAC">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Tao Zhang</w:t>
            </w:r>
          </w:p>
        </w:tc>
        <w:tc>
          <w:tcPr>
            <w:tcW w:w="851" w:type="dxa"/>
            <w:noWrap w:val="0"/>
            <w:vAlign w:val="center"/>
          </w:tcPr>
          <w:p w14:paraId="2E8272F2">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23</w:t>
            </w:r>
          </w:p>
        </w:tc>
        <w:tc>
          <w:tcPr>
            <w:tcW w:w="850" w:type="dxa"/>
            <w:noWrap w:val="0"/>
            <w:vAlign w:val="center"/>
          </w:tcPr>
          <w:p w14:paraId="249873E4">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WOS</w:t>
            </w:r>
          </w:p>
        </w:tc>
        <w:tc>
          <w:tcPr>
            <w:tcW w:w="1134" w:type="dxa"/>
            <w:noWrap w:val="0"/>
            <w:vAlign w:val="center"/>
          </w:tcPr>
          <w:p w14:paraId="16F40B49">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c>
          <w:tcPr>
            <w:tcW w:w="1134" w:type="dxa"/>
            <w:noWrap w:val="0"/>
            <w:vAlign w:val="center"/>
          </w:tcPr>
          <w:p w14:paraId="1D79341A">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r>
      <w:tr w14:paraId="3BC40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59" w:hRule="exact"/>
        </w:trPr>
        <w:tc>
          <w:tcPr>
            <w:tcW w:w="400" w:type="dxa"/>
            <w:noWrap w:val="0"/>
            <w:vAlign w:val="center"/>
          </w:tcPr>
          <w:p w14:paraId="451C7A9A">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5</w:t>
            </w:r>
          </w:p>
        </w:tc>
        <w:tc>
          <w:tcPr>
            <w:tcW w:w="2591" w:type="dxa"/>
            <w:noWrap w:val="0"/>
            <w:vAlign w:val="center"/>
          </w:tcPr>
          <w:p w14:paraId="558F7537">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Clothianidin loaded TA/Fe (III) controlled-release granules: improve pesticide bioavailability and alleviate oxidative stress</w:t>
            </w:r>
          </w:p>
        </w:tc>
        <w:tc>
          <w:tcPr>
            <w:tcW w:w="1517" w:type="dxa"/>
            <w:noWrap w:val="0"/>
            <w:vAlign w:val="center"/>
          </w:tcPr>
          <w:p w14:paraId="243FE2B1">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Journal of Hazardous Materials</w:t>
            </w:r>
          </w:p>
        </w:tc>
        <w:tc>
          <w:tcPr>
            <w:tcW w:w="828" w:type="dxa"/>
            <w:noWrap w:val="0"/>
            <w:vAlign w:val="center"/>
          </w:tcPr>
          <w:p w14:paraId="39C0E947">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0304-3894</w:t>
            </w:r>
          </w:p>
        </w:tc>
        <w:tc>
          <w:tcPr>
            <w:tcW w:w="837" w:type="dxa"/>
            <w:noWrap w:val="0"/>
            <w:vAlign w:val="center"/>
          </w:tcPr>
          <w:p w14:paraId="29EC2BAB">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2021-08-15</w:t>
            </w:r>
          </w:p>
        </w:tc>
        <w:tc>
          <w:tcPr>
            <w:tcW w:w="2074" w:type="dxa"/>
            <w:noWrap w:val="0"/>
            <w:vAlign w:val="center"/>
          </w:tcPr>
          <w:p w14:paraId="446E23BC">
            <w:pPr>
              <w:pStyle w:val="2"/>
              <w:spacing w:after="50" w:line="320" w:lineRule="exact"/>
              <w:ind w:firstLine="0"/>
              <w:jc w:val="center"/>
              <w:outlineLvl w:val="9"/>
              <w:rPr>
                <w:rFonts w:ascii="Times New Roman"/>
                <w:color w:val="000000"/>
                <w:sz w:val="21"/>
                <w:szCs w:val="28"/>
              </w:rPr>
            </w:pPr>
            <w:r>
              <w:rPr>
                <w:rFonts w:hint="eastAsia" w:ascii="Times New Roman"/>
                <w:b/>
                <w:bCs/>
                <w:color w:val="000000"/>
                <w:sz w:val="21"/>
                <w:szCs w:val="28"/>
              </w:rPr>
              <w:t>Tingting Liu, Jian Luo</w:t>
            </w:r>
            <w:r>
              <w:rPr>
                <w:rFonts w:hint="eastAsia" w:ascii="Times New Roman"/>
                <w:color w:val="000000"/>
                <w:sz w:val="21"/>
                <w:szCs w:val="28"/>
              </w:rPr>
              <w:t>, Shangke Liu,</w:t>
            </w:r>
            <w:r>
              <w:rPr>
                <w:rFonts w:hint="eastAsia" w:ascii="Times New Roman"/>
                <w:color w:val="000000"/>
                <w:sz w:val="21"/>
                <w:szCs w:val="28"/>
                <w:lang w:val="en-US" w:eastAsia="zh-CN"/>
              </w:rPr>
              <w:t xml:space="preserve"> </w:t>
            </w:r>
            <w:r>
              <w:rPr>
                <w:rFonts w:hint="eastAsia" w:ascii="Times New Roman"/>
                <w:color w:val="000000"/>
                <w:sz w:val="21"/>
                <w:szCs w:val="28"/>
              </w:rPr>
              <w:t xml:space="preserve">Tongtong Li, </w:t>
            </w:r>
            <w:r>
              <w:rPr>
                <w:rFonts w:hint="eastAsia" w:ascii="Times New Roman"/>
                <w:color w:val="000000"/>
                <w:sz w:val="21"/>
                <w:szCs w:val="28"/>
                <w:lang w:val="en-US" w:eastAsia="zh-CN"/>
              </w:rPr>
              <w:t>H</w:t>
            </w:r>
            <w:r>
              <w:rPr>
                <w:rFonts w:hint="eastAsia" w:ascii="Times New Roman"/>
                <w:color w:val="000000"/>
                <w:sz w:val="21"/>
                <w:szCs w:val="28"/>
              </w:rPr>
              <w:t xml:space="preserve">aolin Li, </w:t>
            </w:r>
            <w:r>
              <w:rPr>
                <w:rFonts w:hint="eastAsia" w:ascii="Times New Roman"/>
                <w:color w:val="000000"/>
                <w:sz w:val="21"/>
                <w:szCs w:val="28"/>
                <w:lang w:val="en-US" w:eastAsia="zh-CN"/>
              </w:rPr>
              <w:t>L</w:t>
            </w:r>
            <w:r>
              <w:rPr>
                <w:rFonts w:hint="eastAsia" w:ascii="Times New Roman"/>
                <w:color w:val="000000"/>
                <w:sz w:val="21"/>
                <w:szCs w:val="28"/>
              </w:rPr>
              <w:t xml:space="preserve">ingyan Zhang, </w:t>
            </w:r>
            <w:r>
              <w:rPr>
                <w:rFonts w:hint="eastAsia" w:ascii="Times New Roman"/>
                <w:b/>
                <w:bCs/>
                <w:color w:val="000000"/>
                <w:sz w:val="21"/>
                <w:szCs w:val="28"/>
              </w:rPr>
              <w:t>Wei Mu, Nan Zou</w:t>
            </w:r>
          </w:p>
        </w:tc>
        <w:tc>
          <w:tcPr>
            <w:tcW w:w="1044" w:type="dxa"/>
            <w:noWrap w:val="0"/>
            <w:vAlign w:val="center"/>
          </w:tcPr>
          <w:p w14:paraId="6DC38FFC">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Wei Mu, Nan Zou</w:t>
            </w:r>
          </w:p>
        </w:tc>
        <w:tc>
          <w:tcPr>
            <w:tcW w:w="1023" w:type="dxa"/>
            <w:noWrap w:val="0"/>
            <w:vAlign w:val="center"/>
          </w:tcPr>
          <w:p w14:paraId="154ED17A">
            <w:pPr>
              <w:pStyle w:val="2"/>
              <w:spacing w:after="50" w:line="320" w:lineRule="exact"/>
              <w:ind w:firstLine="0"/>
              <w:jc w:val="center"/>
              <w:outlineLvl w:val="9"/>
              <w:rPr>
                <w:rFonts w:ascii="Times New Roman"/>
                <w:color w:val="000000"/>
                <w:sz w:val="21"/>
                <w:szCs w:val="28"/>
              </w:rPr>
            </w:pPr>
            <w:r>
              <w:rPr>
                <w:rFonts w:hint="eastAsia" w:ascii="Times New Roman"/>
                <w:color w:val="000000"/>
                <w:sz w:val="21"/>
                <w:szCs w:val="28"/>
              </w:rPr>
              <w:t>Tingting Liu, Jian Luo</w:t>
            </w:r>
          </w:p>
        </w:tc>
        <w:tc>
          <w:tcPr>
            <w:tcW w:w="851" w:type="dxa"/>
            <w:noWrap w:val="0"/>
            <w:vAlign w:val="center"/>
          </w:tcPr>
          <w:p w14:paraId="2A2C534E">
            <w:pPr>
              <w:pStyle w:val="2"/>
              <w:spacing w:after="50" w:line="320" w:lineRule="exact"/>
              <w:ind w:firstLine="0"/>
              <w:jc w:val="center"/>
              <w:outlineLvl w:val="9"/>
              <w:rPr>
                <w:rFonts w:hint="default" w:ascii="Times New Roman" w:eastAsia="宋体"/>
                <w:color w:val="000000"/>
                <w:sz w:val="21"/>
                <w:szCs w:val="28"/>
                <w:lang w:val="en-US" w:eastAsia="zh-CN"/>
              </w:rPr>
            </w:pPr>
            <w:r>
              <w:rPr>
                <w:rFonts w:hint="eastAsia" w:ascii="Times New Roman"/>
                <w:color w:val="000000"/>
                <w:sz w:val="21"/>
                <w:szCs w:val="28"/>
                <w:lang w:val="en-US" w:eastAsia="zh-CN"/>
              </w:rPr>
              <w:t>42</w:t>
            </w:r>
          </w:p>
        </w:tc>
        <w:tc>
          <w:tcPr>
            <w:tcW w:w="850" w:type="dxa"/>
            <w:noWrap w:val="0"/>
            <w:vAlign w:val="center"/>
          </w:tcPr>
          <w:p w14:paraId="6D0F244E">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WOS</w:t>
            </w:r>
          </w:p>
        </w:tc>
        <w:tc>
          <w:tcPr>
            <w:tcW w:w="1134" w:type="dxa"/>
            <w:noWrap w:val="0"/>
            <w:vAlign w:val="center"/>
          </w:tcPr>
          <w:p w14:paraId="0E351796">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c>
          <w:tcPr>
            <w:tcW w:w="1134" w:type="dxa"/>
            <w:noWrap w:val="0"/>
            <w:vAlign w:val="center"/>
          </w:tcPr>
          <w:p w14:paraId="3E5C762D">
            <w:pPr>
              <w:pStyle w:val="2"/>
              <w:spacing w:after="50" w:line="320" w:lineRule="exact"/>
              <w:ind w:firstLine="0" w:firstLineChars="0"/>
              <w:jc w:val="center"/>
              <w:outlineLvl w:val="9"/>
              <w:rPr>
                <w:rFonts w:ascii="Times New Roman"/>
                <w:color w:val="000000"/>
                <w:sz w:val="21"/>
                <w:szCs w:val="28"/>
              </w:rPr>
            </w:pPr>
            <w:r>
              <w:rPr>
                <w:rFonts w:hint="eastAsia" w:ascii="Times New Roman"/>
                <w:color w:val="000000"/>
                <w:sz w:val="21"/>
                <w:szCs w:val="28"/>
                <w:lang w:val="en-US" w:eastAsia="zh-CN"/>
              </w:rPr>
              <w:t>是</w:t>
            </w:r>
          </w:p>
        </w:tc>
      </w:tr>
      <w:tr w14:paraId="2577F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noWrap w:val="0"/>
            <w:vAlign w:val="center"/>
          </w:tcPr>
          <w:p w14:paraId="567D75AD">
            <w:pPr>
              <w:pStyle w:val="2"/>
              <w:spacing w:after="50" w:line="320" w:lineRule="exact"/>
              <w:ind w:firstLine="0"/>
              <w:jc w:val="center"/>
              <w:outlineLvl w:val="9"/>
              <w:rPr>
                <w:rFonts w:ascii="Times New Roman"/>
                <w:color w:val="000000"/>
                <w:sz w:val="21"/>
                <w:szCs w:val="28"/>
              </w:rPr>
            </w:pPr>
            <w:r>
              <w:rPr>
                <w:rFonts w:ascii="Times New Roman"/>
                <w:color w:val="000000"/>
                <w:sz w:val="21"/>
                <w:szCs w:val="28"/>
              </w:rPr>
              <w:t>合计</w:t>
            </w:r>
          </w:p>
        </w:tc>
        <w:tc>
          <w:tcPr>
            <w:tcW w:w="851" w:type="dxa"/>
            <w:noWrap w:val="0"/>
            <w:vAlign w:val="center"/>
          </w:tcPr>
          <w:p w14:paraId="72BB5E32">
            <w:pPr>
              <w:pStyle w:val="2"/>
              <w:spacing w:after="50" w:line="320" w:lineRule="exact"/>
              <w:ind w:firstLine="0"/>
              <w:jc w:val="center"/>
              <w:outlineLvl w:val="9"/>
              <w:rPr>
                <w:rFonts w:ascii="Times New Roman"/>
                <w:color w:val="000000"/>
                <w:sz w:val="21"/>
                <w:szCs w:val="28"/>
              </w:rPr>
            </w:pPr>
          </w:p>
        </w:tc>
        <w:tc>
          <w:tcPr>
            <w:tcW w:w="850" w:type="dxa"/>
            <w:noWrap w:val="0"/>
            <w:vAlign w:val="center"/>
          </w:tcPr>
          <w:p w14:paraId="1D8043EA">
            <w:pPr>
              <w:pStyle w:val="2"/>
              <w:spacing w:after="50" w:line="320" w:lineRule="exact"/>
              <w:ind w:firstLine="0"/>
              <w:jc w:val="center"/>
              <w:outlineLvl w:val="9"/>
              <w:rPr>
                <w:rFonts w:ascii="Times New Roman"/>
                <w:color w:val="000000"/>
                <w:sz w:val="21"/>
                <w:szCs w:val="28"/>
              </w:rPr>
            </w:pPr>
          </w:p>
        </w:tc>
        <w:tc>
          <w:tcPr>
            <w:tcW w:w="1134" w:type="dxa"/>
            <w:noWrap w:val="0"/>
            <w:vAlign w:val="center"/>
          </w:tcPr>
          <w:p w14:paraId="473B4964">
            <w:pPr>
              <w:pStyle w:val="2"/>
              <w:spacing w:after="50" w:line="320" w:lineRule="exact"/>
              <w:ind w:firstLine="0"/>
              <w:jc w:val="center"/>
              <w:outlineLvl w:val="9"/>
              <w:rPr>
                <w:rFonts w:ascii="Times New Roman"/>
                <w:color w:val="000000"/>
                <w:sz w:val="18"/>
                <w:szCs w:val="18"/>
              </w:rPr>
            </w:pPr>
          </w:p>
        </w:tc>
        <w:tc>
          <w:tcPr>
            <w:tcW w:w="1134" w:type="dxa"/>
            <w:noWrap w:val="0"/>
            <w:vAlign w:val="top"/>
          </w:tcPr>
          <w:p w14:paraId="584B8481">
            <w:pPr>
              <w:pStyle w:val="2"/>
              <w:spacing w:after="50" w:line="320" w:lineRule="exact"/>
              <w:ind w:firstLine="0"/>
              <w:jc w:val="center"/>
              <w:outlineLvl w:val="9"/>
              <w:rPr>
                <w:rFonts w:ascii="Times New Roman"/>
                <w:color w:val="000000"/>
                <w:sz w:val="18"/>
                <w:szCs w:val="18"/>
              </w:rPr>
            </w:pPr>
          </w:p>
        </w:tc>
      </w:tr>
    </w:tbl>
    <w:p w14:paraId="3F9A4A7A">
      <w:pPr>
        <w:widowControl/>
        <w:shd w:val="clear" w:color="auto" w:fill="FFFFFF"/>
        <w:spacing w:line="360" w:lineRule="auto"/>
        <w:jc w:val="both"/>
        <w:rPr>
          <w:rFonts w:hint="eastAsia" w:ascii="Times New Roman" w:hAnsi="Times New Roman" w:eastAsia="仿宋" w:cs="Times New Roman"/>
          <w:sz w:val="32"/>
          <w:szCs w:val="32"/>
          <w:lang w:val="en-US" w:eastAsia="zh-CN"/>
        </w:rPr>
        <w:sectPr>
          <w:pgSz w:w="16838" w:h="11906" w:orient="landscape"/>
          <w:pgMar w:top="1800" w:right="1440" w:bottom="1800" w:left="1440" w:header="851" w:footer="992" w:gutter="0"/>
          <w:cols w:space="425" w:num="1"/>
          <w:docGrid w:type="lines" w:linePitch="312" w:charSpace="0"/>
        </w:sectPr>
      </w:pPr>
    </w:p>
    <w:p w14:paraId="0674D5DB">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八、主要完成人</w:t>
      </w:r>
      <w:r>
        <w:rPr>
          <w:rFonts w:hint="eastAsia" w:ascii="Times New Roman" w:hAnsi="Times New Roman" w:eastAsia="仿宋" w:cs="Times New Roman"/>
          <w:sz w:val="32"/>
          <w:szCs w:val="32"/>
          <w:lang w:val="en-US" w:eastAsia="zh-CN"/>
        </w:rPr>
        <w:t>（工作单位、完成单位）（每名完成人一行，按顺序填写）</w:t>
      </w:r>
    </w:p>
    <w:p w14:paraId="167D7C57">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刘峰，山东农业大学，山东农业大学</w:t>
      </w:r>
    </w:p>
    <w:p w14:paraId="5E97C698">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李北兴，山东农业大学，山东农业大学</w:t>
      </w:r>
    </w:p>
    <w:p w14:paraId="1ACA5E34">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张大侠，山东农业大学，山东农业大学</w:t>
      </w:r>
    </w:p>
    <w:p w14:paraId="20DA04F8">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邹楠，山东农业大学，山东农业大学</w:t>
      </w:r>
    </w:p>
    <w:p w14:paraId="735C8B4D">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慕卫，山东农业大学，山东农业大学</w:t>
      </w:r>
    </w:p>
    <w:p w14:paraId="325EABE9">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侯有明，福建农林大学，福建农林大学</w:t>
      </w:r>
    </w:p>
    <w:p w14:paraId="63F47D18">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罗健，安徽农业大学，山东农业大学</w:t>
      </w:r>
    </w:p>
    <w:p w14:paraId="45B31B69">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张涛，山东农业大学，山东农业大学</w:t>
      </w:r>
    </w:p>
    <w:p w14:paraId="1FC9F294">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王伟昌，山东潍坊润丰化工股份有限公司，山东农业大学</w:t>
      </w:r>
    </w:p>
    <w:p w14:paraId="7C096848">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刘婷婷，山东农业大学，山东农业大学</w:t>
      </w:r>
    </w:p>
    <w:p w14:paraId="1658E275">
      <w:pPr>
        <w:widowControl/>
        <w:shd w:val="clear" w:color="auto" w:fill="FFFFFF"/>
        <w:spacing w:line="360" w:lineRule="auto"/>
        <w:ind w:firstLine="643"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b/>
          <w:bCs/>
          <w:sz w:val="32"/>
          <w:szCs w:val="32"/>
          <w:lang w:val="en-US" w:eastAsia="zh-CN"/>
        </w:rPr>
        <w:t>九、主要完成单位：</w:t>
      </w:r>
      <w:r>
        <w:rPr>
          <w:rFonts w:hint="eastAsia" w:ascii="Times New Roman" w:hAnsi="Times New Roman" w:eastAsia="仿宋" w:cs="Times New Roman"/>
          <w:sz w:val="32"/>
          <w:szCs w:val="32"/>
          <w:lang w:val="en-US" w:eastAsia="zh-CN"/>
        </w:rPr>
        <w:t>（每个完成单位一行，按顺序填写）</w:t>
      </w:r>
    </w:p>
    <w:p w14:paraId="534442DC">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山东农业大学</w:t>
      </w:r>
    </w:p>
    <w:p w14:paraId="1832181D">
      <w:pPr>
        <w:widowControl/>
        <w:shd w:val="clear" w:color="auto" w:fill="FFFFFF"/>
        <w:spacing w:line="360" w:lineRule="auto"/>
        <w:ind w:firstLine="640" w:firstLineChars="200"/>
        <w:jc w:val="both"/>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福建农林大学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FF2C56"/>
    <w:rsid w:val="297D4958"/>
    <w:rsid w:val="5532736F"/>
    <w:rsid w:val="563E073E"/>
    <w:rsid w:val="64A70BCA"/>
    <w:rsid w:val="65BD2D6D"/>
    <w:rsid w:val="69831764"/>
    <w:rsid w:val="6F960E0D"/>
    <w:rsid w:val="7FCF4636"/>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pPr>
    <w:rPr>
      <w:rFonts w:ascii="仿宋_GB2312"/>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2282</Words>
  <Characters>3476</Characters>
  <Lines>0</Lines>
  <Paragraphs>0</Paragraphs>
  <TotalTime>0</TotalTime>
  <ScaleCrop>false</ScaleCrop>
  <LinksUpToDate>false</LinksUpToDate>
  <CharactersWithSpaces>3654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2026-07-01T13:16:00Z</dcterms:created>
  <dc:creator>HP</dc:creator>
  <cp:lastModifiedBy>chenfang</cp:lastModifiedBy>
  <cp:lastPrinted>2026-07-06T00:54:00Z</cp:lastPrinted>
  <dcterms:modified xsi:type="dcterms:W3CDTF">2026-07-14T01:30:42Z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eyJoZGlkIjoiODBhYzE0NjQ2M2VkY2ExOThhZGNlMDE5N2E5OTc2NzEiLCJ1c2VySWQiOiIxMzA1NDQzMzMxIn0=</vt:lpwstr>
  </property>
  <property fmtid="{D5CDD505-2E9C-101B-9397-08002B2CF9AE}" pid="4" name="ICV">
    <vt:lpwstr>63479B01F31D4B3997259716E055AEB1_12</vt:lpwstr>
  </property>
</Properties>
</file>