
<file path=[Content_Types].xml><?xml version="1.0" encoding="utf-8"?>
<Types xmlns="http://schemas.openxmlformats.org/package/2006/content-types">
  <Default Extension="tiff" ContentType="image/tif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4A26F9">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center"/>
        <w:textAlignment w:val="auto"/>
        <w:rPr>
          <w:rFonts w:hint="default" w:ascii="Times New Roman" w:hAnsi="Times New Roman" w:eastAsia="黑体" w:cs="Times New Roman"/>
          <w:b/>
          <w:bCs/>
          <w:color w:val="000000"/>
          <w:sz w:val="30"/>
          <w:szCs w:val="30"/>
          <w:lang w:val="en-US" w:eastAsia="zh-CN"/>
        </w:rPr>
      </w:pPr>
      <w:bookmarkStart w:id="0" w:name="_GoBack"/>
      <w:bookmarkEnd w:id="0"/>
      <w:r>
        <w:rPr>
          <w:rFonts w:hint="default" w:ascii="Times New Roman" w:hAnsi="Times New Roman" w:eastAsia="黑体" w:cs="Times New Roman"/>
          <w:b/>
          <w:bCs/>
          <w:color w:val="000000"/>
          <w:sz w:val="30"/>
          <w:szCs w:val="30"/>
          <w:lang w:val="en-US" w:eastAsia="zh-CN"/>
        </w:rPr>
        <w:t>2026年山东省科学技术青年奖公示内容</w:t>
      </w:r>
    </w:p>
    <w:p w14:paraId="709449BD">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黑体" w:cs="Times New Roman"/>
          <w:b/>
          <w:bCs/>
          <w:color w:val="000000"/>
          <w:sz w:val="28"/>
          <w:szCs w:val="28"/>
          <w:lang w:val="en-US" w:eastAsia="zh-CN"/>
        </w:rPr>
      </w:pPr>
      <w:r>
        <w:rPr>
          <w:rFonts w:hint="default" w:ascii="Times New Roman" w:hAnsi="Times New Roman" w:eastAsia="黑体" w:cs="Times New Roman"/>
          <w:b/>
          <w:bCs/>
          <w:color w:val="000000"/>
          <w:sz w:val="28"/>
          <w:szCs w:val="28"/>
          <w:lang w:val="en-US" w:eastAsia="zh-CN"/>
        </w:rPr>
        <w:t>一、候选人基本情况</w:t>
      </w:r>
    </w:p>
    <w:p w14:paraId="53FD8F11">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巩彪，男，1986年3月生，2009年9月-2014年6月于山东农业大学园艺科学与工程学院硕博连读，获博士学位，2014年7月，留山东农业大学园艺科学与工程学院任教，获聘讲师，2018年晋升副教授（硕导），2020年破格晋升教授（博导）。</w:t>
      </w:r>
    </w:p>
    <w:p w14:paraId="6FEA27F0">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黑体" w:cs="Times New Roman"/>
          <w:b/>
          <w:bCs/>
          <w:color w:val="000000"/>
          <w:sz w:val="28"/>
          <w:szCs w:val="28"/>
          <w:lang w:val="en-US" w:eastAsia="zh-CN"/>
        </w:rPr>
      </w:pPr>
      <w:r>
        <w:rPr>
          <w:rFonts w:hint="default" w:ascii="Times New Roman" w:hAnsi="Times New Roman" w:eastAsia="黑体" w:cs="Times New Roman"/>
          <w:b/>
          <w:bCs/>
          <w:color w:val="000000"/>
          <w:sz w:val="28"/>
          <w:szCs w:val="28"/>
          <w:lang w:val="en-US" w:eastAsia="zh-CN"/>
        </w:rPr>
        <w:t>二、提名者</w:t>
      </w:r>
    </w:p>
    <w:p w14:paraId="54C4EB33">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李传友，山东农业大学生命科学院 教授/院长，蔬菜学专业。</w:t>
      </w:r>
    </w:p>
    <w:p w14:paraId="6E72B576">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杨越超，山东农业大学资源与环境学院 教授，土壤学专业。</w:t>
      </w:r>
    </w:p>
    <w:p w14:paraId="597E6858">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陈敏，山东师范大学生命科学院 教授，植物学专业。</w:t>
      </w:r>
    </w:p>
    <w:p w14:paraId="6E5FE508">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黑体" w:cs="Times New Roman"/>
          <w:b/>
          <w:bCs/>
          <w:color w:val="000000"/>
          <w:sz w:val="28"/>
          <w:szCs w:val="28"/>
          <w:lang w:val="en-US" w:eastAsia="zh-CN"/>
        </w:rPr>
      </w:pPr>
      <w:r>
        <w:rPr>
          <w:rFonts w:hint="default" w:ascii="Times New Roman" w:hAnsi="Times New Roman" w:eastAsia="黑体" w:cs="Times New Roman"/>
          <w:b/>
          <w:bCs/>
          <w:color w:val="000000"/>
          <w:sz w:val="28"/>
          <w:szCs w:val="28"/>
          <w:lang w:val="en-US" w:eastAsia="zh-CN"/>
        </w:rPr>
        <w:t>三、提名意见</w:t>
      </w:r>
    </w:p>
    <w:p w14:paraId="2A3762D5">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候选人紧扣国家盐碱地综合利用战略，聚焦15亿亩盐碱地开发不足与番茄市场品质升级需求，针对盐碱地番茄长势弱、产量低、病害高发等绿色生产瓶颈，选定“盐碱地番茄绿色生产理论与技术研创”为攻关方向，历时17年，为盐碱地高效利用和番茄产业转型提供系统理论与技术支撑。</w:t>
      </w:r>
    </w:p>
    <w:p w14:paraId="5BCC0DFB">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理论创新突出：系统阐明番茄盐碱胁迫的生理响应、信号感知及调控网络，揭示耐盐性与特优品质协同机制；阐明番茄病毒广谱识别与免疫机制，解析褪黑素抑制细菌性病害的药靶与分子机理，揭示寄主-病原-环境多元互作生态调控。成果发表于EMBO Journal、Nature Communications、Advanced Science、Plant Cell等期刊，共61篇，奠定耐盐抗病育种及绿色防控理论基础，学术影响力显著。</w:t>
      </w:r>
    </w:p>
    <w:p w14:paraId="7D5583A2">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自主创新扎实：获植物新品种权8项、发明专利19件、技术规程4项、软件著作权1项，形成覆盖种质创新、品种选育、绿色生产与智慧管控的完整知识产权体系，体现基础研究与应用转化的协同能力。</w:t>
      </w:r>
    </w:p>
    <w:p w14:paraId="660DF8EA">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转化成效突出：新品种与新技术在沿黄流域及滨海盐碱地大面积示范推广，有效破解长势弱、产量低、病害易发瓶颈，实现资源高效利用与品质提升，形成可复制推广的产业模式。</w:t>
      </w:r>
    </w:p>
    <w:p w14:paraId="2B887398">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学术引领与人才培养：获农业农村部农业科研杰出人才、泰山学者青年专家等称号；获山东省科技进步二等奖1项、高校科技三等奖2项、农业技术推广优选计划1项；主持山东省杰青、国家自然科学基金5项、省部级项目9项，H指数25，彰显青年学者科研组织力与学术地位。</w:t>
      </w:r>
    </w:p>
    <w:p w14:paraId="60A645EA">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eastAsia="宋体" w:cs="Times New Roman"/>
          <w:b w:val="0"/>
          <w:bCs/>
          <w:color w:val="000000"/>
          <w:sz w:val="24"/>
          <w:szCs w:val="32"/>
          <w:lang w:val="en-US" w:eastAsia="zh-CN"/>
        </w:rPr>
      </w:pPr>
      <w:r>
        <w:rPr>
          <w:rFonts w:hint="default" w:ascii="Times New Roman" w:hAnsi="Times New Roman" w:eastAsia="宋体" w:cs="Times New Roman"/>
          <w:b w:val="0"/>
          <w:bCs/>
          <w:color w:val="000000"/>
          <w:sz w:val="24"/>
          <w:szCs w:val="32"/>
          <w:lang w:val="en-US" w:eastAsia="zh-CN"/>
        </w:rPr>
        <w:t>综上，候选人在盐碱地番茄绿色生产理论与技术领域取得了系统性、原创性的成果，理论深度、创新广度与应用成效均达到国内领先、国际先进水平。经审阅，确认提名材料真实有效，确认相关栏目符合填写要求，特郑重提名候选人申报</w:t>
      </w:r>
      <w:r>
        <w:rPr>
          <w:rFonts w:hint="default" w:ascii="Times New Roman" w:hAnsi="Times New Roman" w:eastAsia="宋体" w:cs="Times New Roman"/>
          <w:b w:val="0"/>
          <w:bCs/>
          <w:color w:val="000000"/>
          <w:sz w:val="24"/>
          <w:szCs w:val="32"/>
        </w:rPr>
        <w:t>科学技术青年奖</w:t>
      </w:r>
      <w:r>
        <w:rPr>
          <w:rFonts w:hint="default" w:ascii="Times New Roman" w:hAnsi="Times New Roman" w:eastAsia="宋体" w:cs="Times New Roman"/>
          <w:b w:val="0"/>
          <w:bCs/>
          <w:color w:val="000000"/>
          <w:sz w:val="24"/>
          <w:szCs w:val="32"/>
          <w:lang w:val="en-US" w:eastAsia="zh-CN"/>
        </w:rPr>
        <w:t>。</w:t>
      </w:r>
    </w:p>
    <w:p w14:paraId="549CCC52">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黑体" w:cs="Times New Roman"/>
          <w:b/>
          <w:bCs/>
          <w:color w:val="000000"/>
          <w:sz w:val="28"/>
          <w:szCs w:val="28"/>
          <w:lang w:val="en-US" w:eastAsia="zh-CN"/>
        </w:rPr>
      </w:pPr>
      <w:r>
        <w:rPr>
          <w:rFonts w:hint="default" w:ascii="Times New Roman" w:hAnsi="Times New Roman" w:eastAsia="黑体" w:cs="Times New Roman"/>
          <w:b/>
          <w:bCs/>
          <w:color w:val="000000"/>
          <w:sz w:val="28"/>
          <w:szCs w:val="28"/>
          <w:lang w:val="en-US" w:eastAsia="zh-CN"/>
        </w:rPr>
        <w:t>四、候选人的主要科技成就与贡献</w:t>
      </w:r>
    </w:p>
    <w:p w14:paraId="3C0BD39D">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黑体" w:cs="Times New Roman"/>
          <w:b/>
          <w:bCs/>
          <w:color w:val="000000"/>
          <w:sz w:val="28"/>
          <w:szCs w:val="28"/>
          <w:lang w:val="en-US" w:eastAsia="zh-CN"/>
        </w:rPr>
      </w:pPr>
      <w:r>
        <w:rPr>
          <w:rFonts w:hint="default" w:ascii="Times New Roman" w:hAnsi="Times New Roman" w:eastAsia="黑体" w:cs="Times New Roman"/>
          <w:b/>
          <w:bCs/>
          <w:color w:val="000000"/>
          <w:sz w:val="28"/>
          <w:szCs w:val="28"/>
          <w:lang w:val="en-US" w:eastAsia="zh-CN"/>
        </w:rPr>
        <w:t>1. 候选人的创造性工作</w:t>
      </w:r>
    </w:p>
    <w:p w14:paraId="7F016AD7">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2" w:firstLineChars="200"/>
        <w:jc w:val="both"/>
        <w:textAlignment w:val="auto"/>
        <w:rPr>
          <w:rFonts w:hint="default" w:ascii="Times New Roman" w:hAnsi="Times New Roman" w:eastAsia="宋体" w:cs="Times New Roman"/>
          <w:b w:val="0"/>
          <w:bCs w:val="0"/>
          <w:color w:val="000000"/>
          <w:sz w:val="24"/>
          <w:szCs w:val="24"/>
          <w:lang w:val="en-US" w:eastAsia="zh-CN"/>
        </w:rPr>
      </w:pPr>
      <w:r>
        <w:rPr>
          <w:rFonts w:hint="default" w:ascii="Times New Roman" w:hAnsi="Times New Roman" w:eastAsia="黑体" w:cs="Times New Roman"/>
          <w:b/>
          <w:bCs/>
          <w:color w:val="000000"/>
          <w:sz w:val="24"/>
          <w:szCs w:val="24"/>
          <w:lang w:val="en-US" w:eastAsia="zh-CN"/>
        </w:rPr>
        <w:t>研究主题：</w:t>
      </w:r>
      <w:r>
        <w:rPr>
          <w:rFonts w:hint="default" w:ascii="Times New Roman" w:hAnsi="Times New Roman" w:eastAsia="宋体" w:cs="Times New Roman"/>
          <w:b w:val="0"/>
          <w:bCs w:val="0"/>
          <w:color w:val="000000"/>
          <w:sz w:val="24"/>
          <w:szCs w:val="24"/>
          <w:lang w:val="en-US" w:eastAsia="zh-CN"/>
        </w:rPr>
        <w:t>中央一号文件将盐碱地综合利用上升为国家战略。我国</w:t>
      </w:r>
      <w:r>
        <w:rPr>
          <w:rFonts w:hint="default" w:ascii="Times New Roman" w:hAnsi="Times New Roman" w:cs="Times New Roman"/>
          <w:b w:val="0"/>
          <w:bCs w:val="0"/>
          <w:color w:val="000000"/>
          <w:sz w:val="24"/>
          <w:szCs w:val="24"/>
          <w:lang w:val="en-US" w:eastAsia="zh-CN"/>
        </w:rPr>
        <w:t>15</w:t>
      </w:r>
      <w:r>
        <w:rPr>
          <w:rFonts w:hint="default" w:ascii="Times New Roman" w:hAnsi="Times New Roman" w:eastAsia="宋体" w:cs="Times New Roman"/>
          <w:b w:val="0"/>
          <w:bCs w:val="0"/>
          <w:color w:val="000000"/>
          <w:sz w:val="24"/>
          <w:szCs w:val="24"/>
          <w:lang w:val="en-US" w:eastAsia="zh-CN"/>
        </w:rPr>
        <w:t>亿亩盐碱地，近三成具备农业利用潜力</w:t>
      </w:r>
      <w:r>
        <w:rPr>
          <w:rFonts w:hint="default" w:ascii="Times New Roman" w:hAnsi="Times New Roman" w:eastAsia="宋体" w:cs="Times New Roman"/>
          <w:b w:val="0"/>
          <w:bCs w:val="0"/>
          <w:i w:val="0"/>
          <w:iCs w:val="0"/>
          <w:color w:val="000000"/>
          <w:sz w:val="24"/>
          <w:szCs w:val="24"/>
          <w:lang w:val="en-US" w:eastAsia="zh-CN"/>
        </w:rPr>
        <w:t>，依托盐碱地发展特色番茄生产，成为盘活后备耕地资源，适配高端市场的新业态。但盐碱地番茄长势弱、产量低、病害更易爆发</w:t>
      </w:r>
      <w:r>
        <w:rPr>
          <w:rFonts w:hint="default" w:ascii="Times New Roman" w:hAnsi="Times New Roman" w:eastAsia="宋体" w:cs="Times New Roman"/>
          <w:b w:val="0"/>
          <w:bCs w:val="0"/>
          <w:color w:val="000000"/>
          <w:sz w:val="24"/>
          <w:szCs w:val="24"/>
          <w:lang w:val="en-US" w:eastAsia="zh-CN"/>
        </w:rPr>
        <w:t>，限制了绿色生产。候选人</w:t>
      </w:r>
      <w:r>
        <w:rPr>
          <w:rFonts w:hint="default" w:ascii="Times New Roman" w:hAnsi="Times New Roman" w:cs="Times New Roman"/>
          <w:b w:val="0"/>
          <w:bCs w:val="0"/>
          <w:color w:val="000000"/>
          <w:sz w:val="24"/>
          <w:szCs w:val="24"/>
          <w:lang w:val="en-US" w:eastAsia="zh-CN"/>
        </w:rPr>
        <w:t>开展</w:t>
      </w:r>
      <w:r>
        <w:rPr>
          <w:rFonts w:hint="default" w:ascii="Times New Roman" w:hAnsi="Times New Roman" w:cs="Times New Roman"/>
          <w:b/>
          <w:bCs/>
          <w:color w:val="000000"/>
          <w:sz w:val="24"/>
          <w:szCs w:val="24"/>
          <w:lang w:val="en-US" w:eastAsia="zh-CN"/>
        </w:rPr>
        <w:t>“</w:t>
      </w:r>
      <w:r>
        <w:rPr>
          <w:rFonts w:hint="default" w:ascii="Times New Roman" w:hAnsi="Times New Roman" w:eastAsia="宋体" w:cs="Times New Roman"/>
          <w:b/>
          <w:bCs/>
          <w:color w:val="000000"/>
          <w:sz w:val="24"/>
          <w:szCs w:val="24"/>
          <w:lang w:val="en-US" w:eastAsia="zh-CN"/>
        </w:rPr>
        <w:t>盐碱地番茄绿色生产理论与技术研创</w:t>
      </w:r>
      <w:r>
        <w:rPr>
          <w:rFonts w:hint="default" w:ascii="Times New Roman" w:hAnsi="Times New Roman" w:cs="Times New Roman"/>
          <w:b/>
          <w:bCs/>
          <w:color w:val="000000"/>
          <w:sz w:val="24"/>
          <w:szCs w:val="24"/>
          <w:lang w:val="en-US" w:eastAsia="zh-CN"/>
        </w:rPr>
        <w:t>”</w:t>
      </w:r>
      <w:r>
        <w:rPr>
          <w:rFonts w:hint="default" w:ascii="Times New Roman" w:hAnsi="Times New Roman" w:cs="Times New Roman"/>
          <w:b w:val="0"/>
          <w:bCs w:val="0"/>
          <w:color w:val="000000"/>
          <w:sz w:val="24"/>
          <w:szCs w:val="24"/>
          <w:lang w:val="en-US" w:eastAsia="zh-CN"/>
        </w:rPr>
        <w:t>工作17年，阐明番茄盐碱抗性与特优品质形成的协同调控机制</w:t>
      </w:r>
      <w:r>
        <w:rPr>
          <w:rFonts w:hint="default" w:ascii="Times New Roman" w:hAnsi="Times New Roman" w:eastAsia="宋体" w:cs="Times New Roman"/>
          <w:b w:val="0"/>
          <w:bCs w:val="0"/>
          <w:color w:val="000000"/>
          <w:sz w:val="24"/>
          <w:szCs w:val="24"/>
          <w:lang w:val="en-US" w:eastAsia="zh-CN"/>
        </w:rPr>
        <w:t>，</w:t>
      </w:r>
      <w:r>
        <w:rPr>
          <w:rFonts w:hint="default" w:ascii="Times New Roman" w:hAnsi="Times New Roman" w:cs="Times New Roman"/>
          <w:b w:val="0"/>
          <w:bCs w:val="0"/>
          <w:color w:val="000000"/>
          <w:sz w:val="24"/>
          <w:szCs w:val="24"/>
          <w:lang w:val="en-US" w:eastAsia="zh-CN"/>
        </w:rPr>
        <w:t>解析</w:t>
      </w:r>
      <w:r>
        <w:rPr>
          <w:rFonts w:hint="default" w:ascii="Times New Roman" w:hAnsi="Times New Roman" w:eastAsia="宋体" w:cs="Times New Roman"/>
          <w:b w:val="0"/>
          <w:bCs w:val="0"/>
          <w:color w:val="000000"/>
          <w:sz w:val="24"/>
          <w:szCs w:val="24"/>
          <w:lang w:val="en-US" w:eastAsia="zh-CN"/>
        </w:rPr>
        <w:t>番茄重大病害的免疫识别与生态调控机理，创制盐碱地番茄绿色生产新品种与新技术</w:t>
      </w:r>
      <w:r>
        <w:rPr>
          <w:rFonts w:hint="default" w:ascii="Times New Roman" w:hAnsi="Times New Roman" w:cs="Times New Roman"/>
          <w:b w:val="0"/>
          <w:bCs w:val="0"/>
          <w:color w:val="000000"/>
          <w:sz w:val="24"/>
          <w:szCs w:val="24"/>
          <w:lang w:val="en-US" w:eastAsia="zh-CN"/>
        </w:rPr>
        <w:t>，在沿黄流域和滨海盐碱地集成、示范与推广</w:t>
      </w:r>
      <w:r>
        <w:rPr>
          <w:rFonts w:hint="default" w:ascii="Times New Roman" w:hAnsi="Times New Roman" w:eastAsia="宋体" w:cs="Times New Roman"/>
          <w:b w:val="0"/>
          <w:bCs w:val="0"/>
          <w:color w:val="000000"/>
          <w:sz w:val="24"/>
          <w:szCs w:val="24"/>
          <w:lang w:val="en-US" w:eastAsia="zh-CN"/>
        </w:rPr>
        <w:t>。</w:t>
      </w:r>
    </w:p>
    <w:p w14:paraId="4C12A0DB">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2" w:firstLineChars="200"/>
        <w:jc w:val="both"/>
        <w:textAlignment w:val="auto"/>
        <w:rPr>
          <w:rFonts w:hint="default" w:ascii="Times New Roman" w:hAnsi="Times New Roman" w:cs="Times New Roman"/>
          <w:b w:val="0"/>
          <w:bCs w:val="0"/>
          <w:color w:val="000000"/>
          <w:sz w:val="24"/>
          <w:szCs w:val="24"/>
          <w:highlight w:val="none"/>
          <w:lang w:val="en-US" w:eastAsia="zh-CN"/>
        </w:rPr>
      </w:pPr>
      <w:r>
        <w:rPr>
          <w:rFonts w:hint="default" w:ascii="Times New Roman" w:hAnsi="Times New Roman" w:eastAsia="黑体" w:cs="Times New Roman"/>
          <w:b/>
          <w:bCs/>
          <w:color w:val="000000"/>
          <w:sz w:val="24"/>
          <w:szCs w:val="24"/>
          <w:highlight w:val="none"/>
          <w:lang w:val="en-US" w:eastAsia="zh-CN"/>
        </w:rPr>
        <w:t>学术贡献：</w:t>
      </w:r>
      <w:r>
        <w:rPr>
          <w:rFonts w:hint="default" w:ascii="Times New Roman" w:hAnsi="Times New Roman" w:eastAsia="宋体" w:cs="Times New Roman"/>
          <w:b w:val="0"/>
          <w:bCs w:val="0"/>
          <w:color w:val="000000"/>
          <w:sz w:val="24"/>
          <w:szCs w:val="24"/>
          <w:highlight w:val="none"/>
          <w:lang w:val="en-US" w:eastAsia="zh-CN"/>
        </w:rPr>
        <w:t>获</w:t>
      </w:r>
      <w:r>
        <w:rPr>
          <w:rFonts w:hint="default" w:ascii="Times New Roman" w:hAnsi="Times New Roman" w:eastAsia="宋体" w:cs="Times New Roman"/>
          <w:b w:val="0"/>
          <w:bCs w:val="0"/>
          <w:color w:val="000000"/>
          <w:sz w:val="24"/>
          <w:szCs w:val="24"/>
          <w:lang w:val="en-US" w:eastAsia="zh-CN"/>
        </w:rPr>
        <w:t>农业农村部</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val="0"/>
          <w:bCs w:val="0"/>
          <w:color w:val="000000"/>
          <w:sz w:val="24"/>
          <w:szCs w:val="24"/>
          <w:lang w:val="en-US" w:eastAsia="zh-CN"/>
        </w:rPr>
        <w:t>农业科研杰出人才</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val="0"/>
          <w:bCs w:val="0"/>
          <w:color w:val="000000"/>
          <w:sz w:val="24"/>
          <w:szCs w:val="24"/>
          <w:lang w:val="en-US" w:eastAsia="zh-CN"/>
        </w:rPr>
        <w:t>、山东省</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val="0"/>
          <w:bCs w:val="0"/>
          <w:color w:val="000000"/>
          <w:sz w:val="24"/>
          <w:szCs w:val="24"/>
          <w:lang w:val="en-US" w:eastAsia="zh-CN"/>
        </w:rPr>
        <w:t>泰山学者青年专家</w:t>
      </w:r>
      <w:r>
        <w:rPr>
          <w:rFonts w:hint="default" w:ascii="Times New Roman" w:hAnsi="Times New Roman" w:cs="Times New Roman"/>
          <w:b w:val="0"/>
          <w:bCs w:val="0"/>
          <w:color w:val="000000"/>
          <w:sz w:val="24"/>
          <w:szCs w:val="24"/>
          <w:lang w:val="en-US" w:eastAsia="zh-CN"/>
        </w:rPr>
        <w:t>”荣誉</w:t>
      </w:r>
      <w:r>
        <w:rPr>
          <w:rFonts w:hint="default" w:ascii="Times New Roman" w:hAnsi="Times New Roman" w:cs="Times New Roman"/>
          <w:b w:val="0"/>
          <w:bCs w:val="0"/>
          <w:color w:val="000000"/>
          <w:sz w:val="24"/>
          <w:szCs w:val="24"/>
          <w:highlight w:val="none"/>
          <w:lang w:val="en-US" w:eastAsia="zh-CN"/>
        </w:rPr>
        <w:t>；</w:t>
      </w:r>
      <w:r>
        <w:rPr>
          <w:rFonts w:hint="default" w:ascii="Times New Roman" w:hAnsi="Times New Roman" w:eastAsia="宋体" w:cs="Times New Roman"/>
          <w:b w:val="0"/>
          <w:bCs w:val="0"/>
          <w:color w:val="000000"/>
          <w:sz w:val="24"/>
          <w:szCs w:val="24"/>
          <w:lang w:val="en-US" w:eastAsia="zh-CN"/>
        </w:rPr>
        <w:t>主持</w:t>
      </w:r>
      <w:r>
        <w:rPr>
          <w:rFonts w:hint="default" w:ascii="Times New Roman" w:hAnsi="Times New Roman" w:cs="Times New Roman"/>
          <w:b w:val="0"/>
          <w:bCs w:val="0"/>
          <w:color w:val="000000"/>
          <w:sz w:val="24"/>
          <w:szCs w:val="24"/>
          <w:lang w:val="en-US" w:eastAsia="zh-CN"/>
        </w:rPr>
        <w:t>山东省“杰青”项目、</w:t>
      </w:r>
      <w:r>
        <w:rPr>
          <w:rFonts w:hint="default" w:ascii="Times New Roman" w:hAnsi="Times New Roman" w:eastAsia="宋体" w:cs="Times New Roman"/>
          <w:b w:val="0"/>
          <w:bCs w:val="0"/>
          <w:color w:val="000000"/>
          <w:sz w:val="24"/>
          <w:szCs w:val="24"/>
          <w:lang w:val="en-US" w:eastAsia="zh-CN"/>
        </w:rPr>
        <w:t>国家自然科学基金5项、省部级项目</w:t>
      </w:r>
      <w:r>
        <w:rPr>
          <w:rFonts w:hint="default" w:ascii="Times New Roman" w:hAnsi="Times New Roman" w:cs="Times New Roman"/>
          <w:b w:val="0"/>
          <w:bCs w:val="0"/>
          <w:color w:val="000000"/>
          <w:sz w:val="24"/>
          <w:szCs w:val="24"/>
          <w:lang w:val="en-US" w:eastAsia="zh-CN"/>
        </w:rPr>
        <w:t>9</w:t>
      </w:r>
      <w:r>
        <w:rPr>
          <w:rFonts w:hint="default" w:ascii="Times New Roman" w:hAnsi="Times New Roman" w:eastAsia="宋体" w:cs="Times New Roman"/>
          <w:b w:val="0"/>
          <w:bCs w:val="0"/>
          <w:color w:val="000000"/>
          <w:sz w:val="24"/>
          <w:szCs w:val="24"/>
          <w:lang w:val="en-US" w:eastAsia="zh-CN"/>
        </w:rPr>
        <w:t>项</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val="0"/>
          <w:bCs w:val="0"/>
          <w:color w:val="000000"/>
          <w:sz w:val="24"/>
          <w:szCs w:val="24"/>
          <w:lang w:val="en-US" w:eastAsia="zh-CN"/>
        </w:rPr>
        <w:t>以通讯/</w:t>
      </w:r>
      <w:r>
        <w:rPr>
          <w:rFonts w:hint="default" w:ascii="Times New Roman" w:hAnsi="Times New Roman" w:cs="Times New Roman"/>
          <w:b w:val="0"/>
          <w:bCs w:val="0"/>
          <w:color w:val="000000"/>
          <w:sz w:val="24"/>
          <w:szCs w:val="24"/>
          <w:lang w:val="en-US" w:eastAsia="zh-CN"/>
        </w:rPr>
        <w:t>一作</w:t>
      </w:r>
      <w:r>
        <w:rPr>
          <w:rFonts w:hint="default" w:ascii="Times New Roman" w:hAnsi="Times New Roman" w:eastAsia="宋体" w:cs="Times New Roman"/>
          <w:b w:val="0"/>
          <w:bCs w:val="0"/>
          <w:color w:val="000000"/>
          <w:sz w:val="24"/>
          <w:szCs w:val="24"/>
          <w:lang w:val="en-US" w:eastAsia="zh-CN"/>
        </w:rPr>
        <w:t>在</w:t>
      </w:r>
      <w:r>
        <w:rPr>
          <w:rFonts w:hint="default" w:ascii="Times New Roman" w:hAnsi="Times New Roman" w:eastAsia="宋体" w:cs="Times New Roman"/>
          <w:b/>
          <w:bCs/>
          <w:color w:val="000000"/>
          <w:sz w:val="24"/>
          <w:szCs w:val="24"/>
          <w:lang w:val="en-US" w:eastAsia="zh-CN"/>
        </w:rPr>
        <w:t>EMBO Journal</w:t>
      </w:r>
      <w:r>
        <w:rPr>
          <w:rFonts w:hint="default" w:ascii="Times New Roman" w:hAnsi="Times New Roman" w:cs="Times New Roman"/>
          <w:b w:val="0"/>
          <w:bCs w:val="0"/>
          <w:color w:val="000000"/>
          <w:sz w:val="24"/>
          <w:szCs w:val="24"/>
          <w:lang w:val="en-US" w:eastAsia="zh-CN"/>
        </w:rPr>
        <w:t>（2026，9/9，独立通讯，封面论文）</w:t>
      </w:r>
      <w:r>
        <w:rPr>
          <w:rFonts w:hint="default" w:ascii="Times New Roman" w:hAnsi="Times New Roman" w:eastAsia="宋体" w:cs="Times New Roman"/>
          <w:b w:val="0"/>
          <w:bCs w:val="0"/>
          <w:color w:val="000000"/>
          <w:sz w:val="24"/>
          <w:szCs w:val="24"/>
          <w:lang w:val="en-US" w:eastAsia="zh-CN"/>
        </w:rPr>
        <w:t>、</w:t>
      </w:r>
      <w:r>
        <w:rPr>
          <w:rFonts w:hint="default" w:ascii="Times New Roman" w:hAnsi="Times New Roman" w:eastAsia="宋体" w:cs="Times New Roman"/>
          <w:b/>
          <w:bCs/>
          <w:color w:val="000000"/>
          <w:sz w:val="24"/>
          <w:szCs w:val="24"/>
          <w:lang w:val="en-US" w:eastAsia="zh-CN"/>
        </w:rPr>
        <w:t>Nature Communications</w:t>
      </w:r>
      <w:r>
        <w:rPr>
          <w:rFonts w:hint="default" w:ascii="Times New Roman" w:hAnsi="Times New Roman" w:cs="Times New Roman"/>
          <w:b w:val="0"/>
          <w:bCs w:val="0"/>
          <w:color w:val="000000"/>
          <w:sz w:val="24"/>
          <w:szCs w:val="24"/>
          <w:lang w:val="en-US" w:eastAsia="zh-CN"/>
        </w:rPr>
        <w:t>（2026，16/16，共同通讯）</w:t>
      </w:r>
      <w:r>
        <w:rPr>
          <w:rFonts w:hint="default" w:ascii="Times New Roman" w:hAnsi="Times New Roman" w:eastAsia="宋体" w:cs="Times New Roman"/>
          <w:b w:val="0"/>
          <w:bCs w:val="0"/>
          <w:color w:val="000000"/>
          <w:sz w:val="24"/>
          <w:szCs w:val="24"/>
          <w:lang w:val="en-US" w:eastAsia="zh-CN"/>
        </w:rPr>
        <w:t>、</w:t>
      </w:r>
      <w:r>
        <w:rPr>
          <w:rFonts w:hint="default" w:ascii="Times New Roman" w:hAnsi="Times New Roman" w:eastAsia="宋体" w:cs="Times New Roman"/>
          <w:b/>
          <w:bCs/>
          <w:color w:val="000000"/>
          <w:sz w:val="24"/>
          <w:szCs w:val="24"/>
          <w:lang w:val="en-US" w:eastAsia="zh-CN"/>
        </w:rPr>
        <w:t>Advanced Science</w:t>
      </w:r>
      <w:r>
        <w:rPr>
          <w:rFonts w:hint="default" w:ascii="Times New Roman" w:hAnsi="Times New Roman" w:cs="Times New Roman"/>
          <w:b w:val="0"/>
          <w:bCs w:val="0"/>
          <w:color w:val="000000"/>
          <w:sz w:val="24"/>
          <w:szCs w:val="24"/>
          <w:lang w:val="en-US" w:eastAsia="zh-CN"/>
        </w:rPr>
        <w:t>（2026，8/8，共同通讯）</w:t>
      </w:r>
      <w:r>
        <w:rPr>
          <w:rFonts w:hint="default" w:ascii="Times New Roman" w:hAnsi="Times New Roman" w:eastAsia="宋体" w:cs="Times New Roman"/>
          <w:b w:val="0"/>
          <w:bCs w:val="0"/>
          <w:color w:val="000000"/>
          <w:sz w:val="24"/>
          <w:szCs w:val="24"/>
          <w:lang w:val="en-US" w:eastAsia="zh-CN"/>
        </w:rPr>
        <w:t>、</w:t>
      </w:r>
      <w:r>
        <w:rPr>
          <w:rFonts w:hint="default" w:ascii="Times New Roman" w:hAnsi="Times New Roman" w:eastAsia="宋体" w:cs="Times New Roman"/>
          <w:b/>
          <w:bCs/>
          <w:color w:val="000000"/>
          <w:sz w:val="24"/>
          <w:szCs w:val="24"/>
          <w:lang w:val="en-US" w:eastAsia="zh-CN"/>
        </w:rPr>
        <w:t>Pl</w:t>
      </w:r>
      <w:r>
        <w:rPr>
          <w:rFonts w:hint="default" w:ascii="Times New Roman" w:hAnsi="Times New Roman" w:eastAsia="宋体" w:cs="Times New Roman"/>
          <w:b/>
          <w:bCs/>
          <w:color w:val="000000"/>
          <w:sz w:val="24"/>
          <w:szCs w:val="24"/>
          <w:highlight w:val="none"/>
          <w:lang w:val="en-US" w:eastAsia="zh-CN"/>
        </w:rPr>
        <w:t>ant Cell</w:t>
      </w:r>
      <w:r>
        <w:rPr>
          <w:rFonts w:hint="default" w:ascii="Times New Roman" w:hAnsi="Times New Roman" w:cs="Times New Roman"/>
          <w:b w:val="0"/>
          <w:bCs w:val="0"/>
          <w:color w:val="000000"/>
          <w:sz w:val="24"/>
          <w:szCs w:val="24"/>
          <w:highlight w:val="none"/>
          <w:lang w:val="en-US" w:eastAsia="zh-CN"/>
        </w:rPr>
        <w:t>（2025，10/10，共同通讯，高被引）</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bCs/>
          <w:color w:val="000000"/>
          <w:sz w:val="24"/>
          <w:szCs w:val="24"/>
          <w:lang w:val="en-US" w:eastAsia="zh-CN"/>
        </w:rPr>
        <w:t>New Phytologist</w:t>
      </w:r>
      <w:r>
        <w:rPr>
          <w:rFonts w:hint="default" w:ascii="Times New Roman" w:hAnsi="Times New Roman" w:cs="Times New Roman"/>
          <w:b w:val="0"/>
          <w:bCs w:val="0"/>
          <w:color w:val="000000"/>
          <w:sz w:val="24"/>
          <w:szCs w:val="24"/>
          <w:lang w:val="en-US" w:eastAsia="zh-CN"/>
        </w:rPr>
        <w:t>（2023，4/4，独立通讯，高被引；2024，4/4，共同通讯；2024，8/8，共同通讯）和</w:t>
      </w:r>
      <w:r>
        <w:rPr>
          <w:rFonts w:hint="default" w:ascii="Times New Roman" w:hAnsi="Times New Roman" w:eastAsia="宋体" w:cs="Times New Roman"/>
          <w:b/>
          <w:bCs/>
          <w:color w:val="000000"/>
          <w:sz w:val="24"/>
          <w:szCs w:val="24"/>
          <w:lang w:val="en-US" w:eastAsia="zh-CN"/>
        </w:rPr>
        <w:t>Plant Physiology</w:t>
      </w:r>
      <w:r>
        <w:rPr>
          <w:rFonts w:hint="default" w:ascii="Times New Roman" w:hAnsi="Times New Roman" w:cs="Times New Roman"/>
          <w:b w:val="0"/>
          <w:bCs w:val="0"/>
          <w:color w:val="000000"/>
          <w:sz w:val="24"/>
          <w:szCs w:val="24"/>
          <w:lang w:val="en-US" w:eastAsia="zh-CN"/>
        </w:rPr>
        <w:t>（2024，6/6，独立通讯；2025，10/10，独立通讯）</w:t>
      </w:r>
      <w:r>
        <w:rPr>
          <w:rFonts w:hint="default" w:ascii="Times New Roman" w:hAnsi="Times New Roman" w:eastAsia="宋体" w:cs="Times New Roman"/>
          <w:b w:val="0"/>
          <w:bCs w:val="0"/>
          <w:color w:val="000000"/>
          <w:sz w:val="24"/>
          <w:szCs w:val="24"/>
          <w:lang w:val="en-US" w:eastAsia="zh-CN"/>
        </w:rPr>
        <w:t>、</w:t>
      </w:r>
      <w:r>
        <w:rPr>
          <w:rFonts w:hint="default" w:ascii="Times New Roman" w:hAnsi="Times New Roman" w:cs="Times New Roman"/>
          <w:b/>
          <w:bCs/>
          <w:color w:val="000000"/>
          <w:sz w:val="24"/>
          <w:szCs w:val="24"/>
          <w:lang w:val="en-US" w:eastAsia="zh-CN"/>
        </w:rPr>
        <w:t>Plant Biotechnology Journal</w:t>
      </w:r>
      <w:r>
        <w:rPr>
          <w:rFonts w:hint="default" w:ascii="Times New Roman" w:hAnsi="Times New Roman" w:cs="Times New Roman"/>
          <w:b w:val="0"/>
          <w:bCs w:val="0"/>
          <w:color w:val="000000"/>
          <w:sz w:val="24"/>
          <w:szCs w:val="24"/>
          <w:lang w:val="en-US" w:eastAsia="zh-CN"/>
        </w:rPr>
        <w:t>（2014，1/10，独立一作）</w:t>
      </w:r>
      <w:r>
        <w:rPr>
          <w:rFonts w:hint="default" w:ascii="Times New Roman" w:hAnsi="Times New Roman" w:eastAsia="宋体" w:cs="Times New Roman"/>
          <w:b w:val="0"/>
          <w:bCs w:val="0"/>
          <w:color w:val="000000"/>
          <w:sz w:val="24"/>
          <w:szCs w:val="24"/>
          <w:highlight w:val="none"/>
          <w:lang w:val="en-US" w:eastAsia="zh-CN"/>
        </w:rPr>
        <w:t>等</w:t>
      </w:r>
      <w:r>
        <w:rPr>
          <w:rFonts w:hint="default" w:ascii="Times New Roman" w:hAnsi="Times New Roman" w:cs="Times New Roman"/>
          <w:b w:val="0"/>
          <w:bCs w:val="0"/>
          <w:color w:val="000000"/>
          <w:sz w:val="24"/>
          <w:szCs w:val="24"/>
          <w:highlight w:val="none"/>
          <w:lang w:val="en-US" w:eastAsia="zh-CN"/>
        </w:rPr>
        <w:t>高水平</w:t>
      </w:r>
      <w:r>
        <w:rPr>
          <w:rFonts w:hint="default" w:ascii="Times New Roman" w:hAnsi="Times New Roman" w:eastAsia="宋体" w:cs="Times New Roman"/>
          <w:b w:val="0"/>
          <w:bCs w:val="0"/>
          <w:color w:val="000000"/>
          <w:sz w:val="24"/>
          <w:szCs w:val="24"/>
          <w:highlight w:val="none"/>
          <w:lang w:val="en-US" w:eastAsia="zh-CN"/>
        </w:rPr>
        <w:t>期刊发表论文</w:t>
      </w:r>
      <w:r>
        <w:rPr>
          <w:rFonts w:hint="default" w:ascii="Times New Roman" w:hAnsi="Times New Roman" w:cs="Times New Roman"/>
          <w:b w:val="0"/>
          <w:bCs w:val="0"/>
          <w:color w:val="000000"/>
          <w:sz w:val="24"/>
          <w:szCs w:val="24"/>
          <w:highlight w:val="none"/>
          <w:lang w:val="en-US" w:eastAsia="zh-CN"/>
        </w:rPr>
        <w:t>61</w:t>
      </w:r>
      <w:r>
        <w:rPr>
          <w:rFonts w:hint="default" w:ascii="Times New Roman" w:hAnsi="Times New Roman" w:eastAsia="宋体" w:cs="Times New Roman"/>
          <w:b w:val="0"/>
          <w:bCs w:val="0"/>
          <w:color w:val="000000"/>
          <w:sz w:val="24"/>
          <w:szCs w:val="24"/>
          <w:highlight w:val="none"/>
          <w:lang w:val="en-US" w:eastAsia="zh-CN"/>
        </w:rPr>
        <w:t>篇，H指数25</w:t>
      </w:r>
      <w:r>
        <w:rPr>
          <w:rFonts w:hint="default" w:ascii="Times New Roman" w:hAnsi="Times New Roman" w:cs="Times New Roman"/>
          <w:b w:val="0"/>
          <w:bCs w:val="0"/>
          <w:color w:val="000000"/>
          <w:sz w:val="24"/>
          <w:szCs w:val="24"/>
          <w:highlight w:val="none"/>
          <w:lang w:val="en-US" w:eastAsia="zh-CN"/>
        </w:rPr>
        <w:t>；</w:t>
      </w:r>
      <w:r>
        <w:rPr>
          <w:rFonts w:hint="default" w:ascii="Times New Roman" w:hAnsi="Times New Roman" w:eastAsia="宋体" w:cs="Times New Roman"/>
          <w:b w:val="0"/>
          <w:bCs w:val="0"/>
          <w:color w:val="000000"/>
          <w:sz w:val="24"/>
          <w:szCs w:val="24"/>
          <w:highlight w:val="none"/>
          <w:lang w:val="en-US" w:eastAsia="zh-CN"/>
        </w:rPr>
        <w:t>获植物新品种权</w:t>
      </w:r>
      <w:r>
        <w:rPr>
          <w:rFonts w:hint="default" w:ascii="Times New Roman" w:hAnsi="Times New Roman" w:cs="Times New Roman"/>
          <w:b w:val="0"/>
          <w:bCs w:val="0"/>
          <w:color w:val="000000"/>
          <w:sz w:val="24"/>
          <w:szCs w:val="24"/>
          <w:highlight w:val="none"/>
          <w:lang w:val="en-US" w:eastAsia="zh-CN"/>
        </w:rPr>
        <w:t>8</w:t>
      </w:r>
      <w:r>
        <w:rPr>
          <w:rFonts w:hint="default" w:ascii="Times New Roman" w:hAnsi="Times New Roman" w:eastAsia="宋体" w:cs="Times New Roman"/>
          <w:b w:val="0"/>
          <w:bCs w:val="0"/>
          <w:color w:val="000000"/>
          <w:sz w:val="24"/>
          <w:szCs w:val="24"/>
          <w:highlight w:val="none"/>
          <w:lang w:val="en-US" w:eastAsia="zh-CN"/>
        </w:rPr>
        <w:t>项、发明专利1</w:t>
      </w:r>
      <w:r>
        <w:rPr>
          <w:rFonts w:hint="default" w:ascii="Times New Roman" w:hAnsi="Times New Roman" w:cs="Times New Roman"/>
          <w:b w:val="0"/>
          <w:bCs w:val="0"/>
          <w:color w:val="000000"/>
          <w:sz w:val="24"/>
          <w:szCs w:val="24"/>
          <w:highlight w:val="none"/>
          <w:lang w:val="en-US" w:eastAsia="zh-CN"/>
        </w:rPr>
        <w:t>9</w:t>
      </w:r>
      <w:r>
        <w:rPr>
          <w:rFonts w:hint="default" w:ascii="Times New Roman" w:hAnsi="Times New Roman" w:eastAsia="宋体" w:cs="Times New Roman"/>
          <w:b w:val="0"/>
          <w:bCs w:val="0"/>
          <w:color w:val="000000"/>
          <w:sz w:val="24"/>
          <w:szCs w:val="24"/>
          <w:highlight w:val="none"/>
          <w:lang w:val="en-US" w:eastAsia="zh-CN"/>
        </w:rPr>
        <w:t>件、技术规程4项、</w:t>
      </w:r>
      <w:r>
        <w:rPr>
          <w:rFonts w:hint="default" w:ascii="Times New Roman" w:hAnsi="Times New Roman" w:cs="Times New Roman"/>
          <w:sz w:val="24"/>
          <w:szCs w:val="24"/>
          <w:lang w:val="en-US" w:eastAsia="zh-CN"/>
        </w:rPr>
        <w:t>软件著作权1项</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val="0"/>
          <w:bCs w:val="0"/>
          <w:color w:val="000000"/>
          <w:sz w:val="24"/>
          <w:szCs w:val="24"/>
          <w:highlight w:val="none"/>
          <w:lang w:val="en-US" w:eastAsia="zh-CN"/>
        </w:rPr>
        <w:t>山东省科技进步二等奖1项</w:t>
      </w:r>
      <w:r>
        <w:rPr>
          <w:rFonts w:hint="default" w:ascii="Times New Roman" w:hAnsi="Times New Roman" w:cs="Times New Roman"/>
          <w:b w:val="0"/>
          <w:bCs w:val="0"/>
          <w:color w:val="000000"/>
          <w:sz w:val="24"/>
          <w:szCs w:val="24"/>
          <w:highlight w:val="none"/>
          <w:lang w:val="en-US" w:eastAsia="zh-CN"/>
        </w:rPr>
        <w:t>、山东省高等学校科学技术三等奖2项、</w:t>
      </w:r>
      <w:r>
        <w:rPr>
          <w:rFonts w:hint="default" w:ascii="Times New Roman" w:hAnsi="Times New Roman" w:cs="Times New Roman"/>
          <w:sz w:val="24"/>
          <w:szCs w:val="24"/>
          <w:lang w:val="en-US" w:eastAsia="zh-CN"/>
        </w:rPr>
        <w:t>山东省农业技术推广成果优选计划1项。</w:t>
      </w:r>
    </w:p>
    <w:p w14:paraId="6F4E645D">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2" w:firstLineChars="200"/>
        <w:jc w:val="both"/>
        <w:textAlignment w:val="auto"/>
        <w:rPr>
          <w:rFonts w:hint="default" w:ascii="Times New Roman" w:hAnsi="Times New Roman" w:cs="Times New Roman"/>
          <w:b w:val="0"/>
          <w:bCs w:val="0"/>
          <w:color w:val="000000"/>
          <w:sz w:val="24"/>
          <w:szCs w:val="24"/>
          <w:highlight w:val="none"/>
          <w:lang w:val="en-US" w:eastAsia="zh-CN"/>
        </w:rPr>
      </w:pPr>
      <w:r>
        <w:rPr>
          <w:rFonts w:hint="default" w:ascii="Times New Roman" w:hAnsi="Times New Roman" w:eastAsia="黑体" w:cs="Times New Roman"/>
          <w:b/>
          <w:bCs/>
          <w:color w:val="000000"/>
          <w:sz w:val="24"/>
          <w:szCs w:val="24"/>
          <w:highlight w:val="none"/>
          <w:lang w:val="en-US" w:eastAsia="zh-CN"/>
        </w:rPr>
        <w:t>学术/社会服务：</w:t>
      </w:r>
      <w:r>
        <w:rPr>
          <w:rFonts w:hint="default" w:ascii="Times New Roman" w:hAnsi="Times New Roman" w:cs="Times New Roman"/>
          <w:b w:val="0"/>
          <w:bCs w:val="0"/>
          <w:color w:val="000000"/>
          <w:sz w:val="24"/>
          <w:szCs w:val="24"/>
          <w:highlight w:val="none"/>
          <w:lang w:val="en-US" w:eastAsia="zh-CN"/>
        </w:rPr>
        <w:t>受山东省委组织部任命为“中国蔬菜第一县”莘县科技副县长，担任Horticultural Research等4个期刊的编委、大学生国家级竞赛裁判长、中国园艺学会青年分会等理事、山东省科技特派员等；在中国园艺学会及其分会做报告10余次；为第三世界国家及我国农技人员开展生产培训约5-10次/年。</w:t>
      </w:r>
    </w:p>
    <w:p w14:paraId="28260D66">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黑体" w:cs="Times New Roman"/>
          <w:b/>
          <w:bCs/>
          <w:color w:val="000000"/>
          <w:sz w:val="28"/>
          <w:szCs w:val="28"/>
          <w:lang w:val="en-US" w:eastAsia="zh-CN"/>
        </w:rPr>
      </w:pPr>
      <w:r>
        <w:rPr>
          <w:rFonts w:hint="default" w:ascii="Times New Roman" w:hAnsi="Times New Roman" w:eastAsia="黑体" w:cs="Times New Roman"/>
          <w:b/>
          <w:bCs/>
          <w:color w:val="000000"/>
          <w:sz w:val="28"/>
          <w:szCs w:val="28"/>
          <w:lang w:val="en-US" w:eastAsia="zh-CN"/>
        </w:rPr>
        <w:t>2. 主要创新点</w:t>
      </w:r>
    </w:p>
    <w:p w14:paraId="053D533C">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2" w:firstLineChars="200"/>
        <w:jc w:val="both"/>
        <w:textAlignment w:val="auto"/>
        <w:rPr>
          <w:rFonts w:hint="default" w:ascii="Times New Roman" w:hAnsi="Times New Roman" w:eastAsia="宋体" w:cs="Times New Roman"/>
          <w:b/>
          <w:bCs/>
          <w:color w:val="000000"/>
          <w:sz w:val="24"/>
          <w:szCs w:val="24"/>
          <w:lang w:val="en-US" w:eastAsia="zh-CN"/>
        </w:rPr>
      </w:pPr>
      <w:r>
        <w:rPr>
          <w:rFonts w:hint="default" w:ascii="Times New Roman" w:hAnsi="Times New Roman" w:eastAsia="黑体" w:cs="Times New Roman"/>
          <w:b/>
          <w:bCs/>
          <w:color w:val="000000"/>
          <w:sz w:val="24"/>
          <w:szCs w:val="24"/>
          <w:lang w:val="en-US" w:eastAsia="zh-CN"/>
        </w:rPr>
        <w:t>创新点1：探明番茄对盐碱胁迫的生理响应特征，解析番茄对盐碱胁迫的信号感知、转译和调控网络，阐明番茄盐碱抗性与特优品质形成的协同调控机制，为盐碱地特优番茄新品种选育与生态高效栽培技术研发奠定理论基础。</w:t>
      </w:r>
      <w:r>
        <w:rPr>
          <w:rFonts w:hint="default" w:ascii="Times New Roman" w:hAnsi="Times New Roman" w:cs="Times New Roman"/>
          <w:b w:val="0"/>
          <w:bCs w:val="0"/>
          <w:color w:val="000000"/>
          <w:sz w:val="24"/>
          <w:szCs w:val="24"/>
          <w:lang w:val="en-US" w:eastAsia="zh-CN"/>
        </w:rPr>
        <w:t>（旁证材料：代表性科技成果1,4,5,6,8,10；重要获奖证书14,15；创新</w:t>
      </w:r>
      <w:r>
        <w:rPr>
          <w:rFonts w:hint="default" w:ascii="Times New Roman" w:hAnsi="Times New Roman" w:cs="Times New Roman"/>
          <w:b w:val="0"/>
          <w:bCs w:val="0"/>
          <w:color w:val="000000"/>
          <w:sz w:val="24"/>
          <w:szCs w:val="24"/>
          <w:highlight w:val="none"/>
          <w:lang w:val="en-US" w:eastAsia="zh-CN"/>
        </w:rPr>
        <w:t>点1附件清单</w:t>
      </w:r>
      <w:r>
        <w:rPr>
          <w:rFonts w:hint="default" w:ascii="Times New Roman" w:hAnsi="Times New Roman" w:cs="Times New Roman"/>
          <w:b w:val="0"/>
          <w:bCs w:val="0"/>
          <w:color w:val="000000"/>
          <w:sz w:val="24"/>
          <w:szCs w:val="24"/>
          <w:lang w:val="en-US" w:eastAsia="zh-CN"/>
        </w:rPr>
        <w:t>）</w:t>
      </w:r>
    </w:p>
    <w:p w14:paraId="29C50CBC">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0" w:firstLineChars="200"/>
        <w:jc w:val="both"/>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val="0"/>
          <w:bCs w:val="0"/>
          <w:color w:val="000000"/>
          <w:sz w:val="24"/>
          <w:szCs w:val="24"/>
          <w:lang w:val="en-US" w:eastAsia="zh-CN"/>
        </w:rPr>
        <w:t>（1）系统研究番茄对中性盐与碱性盐胁迫的耐性阈值及生理响应差异，构建多组学时空网络，解析盐碱胁迫响应的关键路径与转换节点。发现pH由5.8升至8.0时，耐盐阈值从2.3‰降至0.6‰（Na</w:t>
      </w:r>
      <w:r>
        <w:rPr>
          <w:rFonts w:hint="default" w:ascii="Times New Roman" w:hAnsi="Times New Roman" w:cs="Times New Roman"/>
          <w:b w:val="0"/>
          <w:bCs w:val="0"/>
          <w:color w:val="000000"/>
          <w:sz w:val="24"/>
          <w:szCs w:val="24"/>
          <w:vertAlign w:val="superscript"/>
          <w:lang w:val="en-US" w:eastAsia="zh-CN"/>
        </w:rPr>
        <w:t>+</w:t>
      </w:r>
      <w:r>
        <w:rPr>
          <w:rFonts w:hint="default" w:ascii="Times New Roman" w:hAnsi="Times New Roman" w:cs="Times New Roman"/>
          <w:b w:val="0"/>
          <w:bCs w:val="0"/>
          <w:color w:val="000000"/>
          <w:sz w:val="24"/>
          <w:szCs w:val="24"/>
          <w:lang w:val="en-US" w:eastAsia="zh-CN"/>
        </w:rPr>
        <w:t>质量分数），证实碱性盐危害远大于中性盐。明确了胞内活性氧、活性氮等氧化还原物质从防御信号向伤害因子转换的动态规律与节点。揭示根系苹果酸和柠檬酸的积累与分泌是重要代谢适应机制，可促进Na</w:t>
      </w:r>
      <w:r>
        <w:rPr>
          <w:rFonts w:hint="default" w:ascii="Times New Roman" w:hAnsi="Times New Roman" w:cs="Times New Roman"/>
          <w:b w:val="0"/>
          <w:bCs w:val="0"/>
          <w:color w:val="000000"/>
          <w:sz w:val="24"/>
          <w:szCs w:val="24"/>
          <w:vertAlign w:val="superscript"/>
          <w:lang w:val="en-US" w:eastAsia="zh-CN"/>
        </w:rPr>
        <w:t>+</w:t>
      </w:r>
      <w:r>
        <w:rPr>
          <w:rFonts w:hint="default" w:ascii="Times New Roman" w:hAnsi="Times New Roman" w:cs="Times New Roman"/>
          <w:b w:val="0"/>
          <w:bCs w:val="0"/>
          <w:color w:val="000000"/>
          <w:sz w:val="24"/>
          <w:szCs w:val="24"/>
          <w:lang w:val="en-US" w:eastAsia="zh-CN"/>
        </w:rPr>
        <w:t>外排与区隔化，维持根际pH稳态，保障高pH下磷、铁等易沉淀矿质营养的有效吸收。为耐盐碱种质评价、利用与栽培技术研发提供理论依据。成果获2015年山东高等学校优秀科研成果三等奖。</w:t>
      </w:r>
    </w:p>
    <w:p w14:paraId="7D30D08B">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0" w:firstLineChars="200"/>
        <w:jc w:val="both"/>
        <w:textAlignment w:val="auto"/>
        <w:rPr>
          <w:rFonts w:hint="default" w:ascii="Times New Roman" w:hAnsi="Times New Roman" w:cs="Times New Roman"/>
          <w:b w:val="0"/>
          <w:bCs w:val="0"/>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highlight w:val="none"/>
          <w:lang w:val="en-US" w:eastAsia="zh-CN"/>
          <w14:textFill>
            <w14:solidFill>
              <w14:schemeClr w14:val="tx1"/>
            </w14:solidFill>
          </w14:textFill>
        </w:rPr>
        <w:t>（2）阐明番茄感知盐碱环境并转译为胞内NO信号、介导蛋白质亚硝基化调控耐盐碱蛋白功能与时空网络的机制。轻度胁迫下，NO作为预警信号，通过亚硝基化修饰耐盐碱蛋白，启动Na</w:t>
      </w:r>
      <w:r>
        <w:rPr>
          <w:rFonts w:hint="default" w:ascii="Times New Roman" w:hAnsi="Times New Roman" w:cs="Times New Roman"/>
          <w:b w:val="0"/>
          <w:bCs w:val="0"/>
          <w:color w:val="000000" w:themeColor="text1"/>
          <w:sz w:val="24"/>
          <w:szCs w:val="24"/>
          <w:highlight w:val="none"/>
          <w:vertAlign w:val="superscript"/>
          <w:lang w:val="en-US" w:eastAsia="zh-CN"/>
          <w14:textFill>
            <w14:solidFill>
              <w14:schemeClr w14:val="tx1"/>
            </w14:solidFill>
          </w14:textFill>
        </w:rPr>
        <w:t>+</w:t>
      </w:r>
      <w:r>
        <w:rPr>
          <w:rFonts w:hint="default" w:ascii="Times New Roman" w:hAnsi="Times New Roman" w:cs="Times New Roman"/>
          <w:b w:val="0"/>
          <w:bCs w:val="0"/>
          <w:color w:val="000000" w:themeColor="text1"/>
          <w:sz w:val="24"/>
          <w:szCs w:val="24"/>
          <w:highlight w:val="none"/>
          <w:lang w:val="en-US" w:eastAsia="zh-CN"/>
          <w14:textFill>
            <w14:solidFill>
              <w14:schemeClr w14:val="tx1"/>
            </w14:solidFill>
          </w14:textFill>
        </w:rPr>
        <w:t>解毒、渗透调节及pH/氧化还原稳态维持等盐碱适应机制；重度胁迫下，NO暴发引起硝化损伤，致根系泌酸受阻，引发pH失衡和根系凋亡，构成避盐策略以规避高盐区域、减少Na</w:t>
      </w:r>
      <w:r>
        <w:rPr>
          <w:rFonts w:hint="default" w:ascii="Times New Roman" w:hAnsi="Times New Roman" w:cs="Times New Roman"/>
          <w:b w:val="0"/>
          <w:bCs w:val="0"/>
          <w:color w:val="000000" w:themeColor="text1"/>
          <w:sz w:val="24"/>
          <w:szCs w:val="24"/>
          <w:highlight w:val="none"/>
          <w:vertAlign w:val="superscript"/>
          <w:lang w:val="en-US" w:eastAsia="zh-CN"/>
          <w14:textFill>
            <w14:solidFill>
              <w14:schemeClr w14:val="tx1"/>
            </w14:solidFill>
          </w14:textFill>
        </w:rPr>
        <w:t>+</w:t>
      </w:r>
      <w:r>
        <w:rPr>
          <w:rFonts w:hint="default" w:ascii="Times New Roman" w:hAnsi="Times New Roman" w:cs="Times New Roman"/>
          <w:b w:val="0"/>
          <w:bCs w:val="0"/>
          <w:color w:val="000000" w:themeColor="text1"/>
          <w:sz w:val="24"/>
          <w:szCs w:val="24"/>
          <w:highlight w:val="none"/>
          <w:vertAlign w:val="baseline"/>
          <w:lang w:val="en-US" w:eastAsia="zh-CN"/>
          <w14:textFill>
            <w14:solidFill>
              <w14:schemeClr w14:val="tx1"/>
            </w14:solidFill>
          </w14:textFill>
        </w:rPr>
        <w:t>吸收</w:t>
      </w:r>
      <w:r>
        <w:rPr>
          <w:rFonts w:hint="default" w:ascii="Times New Roman" w:hAnsi="Times New Roman" w:cs="Times New Roman"/>
          <w:b w:val="0"/>
          <w:bCs w:val="0"/>
          <w:color w:val="000000" w:themeColor="text1"/>
          <w:sz w:val="24"/>
          <w:szCs w:val="24"/>
          <w:highlight w:val="none"/>
          <w:lang w:val="en-US" w:eastAsia="zh-CN"/>
          <w14:textFill>
            <w14:solidFill>
              <w14:schemeClr w14:val="tx1"/>
            </w14:solidFill>
          </w14:textFill>
        </w:rPr>
        <w:t>，提升盐碱适应性。通过亚硝基化位点编辑，创制3个优质耐盐节水番茄新种质及育种技术，为耐盐碱遗传改良和化控增抗提供理论、基因与代谢物支撑。成果发表于Plant Cell等期刊（高被引2篇），美国植物学家Singla-Rastogi M.在Plant Cell专评“为植物耐盐碱机制提供新视角”。成果获2019年山东省高等学校科学技术三等奖。</w:t>
      </w:r>
    </w:p>
    <w:p w14:paraId="550DC284">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0" w:firstLineChars="200"/>
        <w:jc w:val="both"/>
        <w:textAlignment w:val="auto"/>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3）解析适度盐碱胁迫下番茄通过限制果实水分积累及代谢重塑，提升糖、酸、风味物质含量与综合品质的调控网络。发现根源ABA和NO协同调控糖、酸代谢重编程，构成抗性与品质协同形成的信号基础；阐明ABA-SnRK2.6-ZHD8和NO-GABA-ALMTs分子模块促进抗性与品质协同提升的分子机制。基于番茄驯化群体和修饰位点，鉴定到ZHD8优异单倍型及GABA-TP关键活性调控位点，并创制了耐盐碱、高糖、高果酸的生物育种新技术及新种质2个。相关成果发表于EMBO Journal等期刊，并获选为封面论文。</w:t>
      </w:r>
    </w:p>
    <w:p w14:paraId="0B3CE210">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drawing>
          <wp:inline distT="0" distB="0" distL="114300" distR="114300">
            <wp:extent cx="5251450" cy="1915795"/>
            <wp:effectExtent l="0" t="0" r="6350" b="1905"/>
            <wp:docPr id="4" name="图片 4" descr="创新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创新点1"/>
                    <pic:cNvPicPr>
                      <a:picLocks noChangeAspect="1"/>
                    </pic:cNvPicPr>
                  </pic:nvPicPr>
                  <pic:blipFill>
                    <a:blip r:embed="rId4"/>
                    <a:stretch>
                      <a:fillRect/>
                    </a:stretch>
                  </pic:blipFill>
                  <pic:spPr>
                    <a:xfrm>
                      <a:off x="0" y="0"/>
                      <a:ext cx="5251450" cy="1915795"/>
                    </a:xfrm>
                    <a:prstGeom prst="rect">
                      <a:avLst/>
                    </a:prstGeom>
                  </pic:spPr>
                </pic:pic>
              </a:graphicData>
            </a:graphic>
          </wp:inline>
        </w:drawing>
      </w:r>
    </w:p>
    <w:p w14:paraId="2452AF4E">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bCs/>
          <w:color w:val="000000" w:themeColor="text1"/>
          <w:sz w:val="21"/>
          <w:szCs w:val="21"/>
          <w:lang w:val="en-US" w:eastAsia="zh-CN"/>
          <w14:textFill>
            <w14:solidFill>
              <w14:schemeClr w14:val="tx1"/>
            </w14:solidFill>
          </w14:textFill>
        </w:rPr>
        <w:t>图1（A）</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HA2</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Cys206</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位点编辑的番茄更耐盐碱，且在东营和滨州盐碱地的产量提高26.19-27.29%。</w:t>
      </w:r>
      <w:r>
        <w:rPr>
          <w:rFonts w:hint="default" w:ascii="Times New Roman" w:hAnsi="Times New Roman" w:cs="Times New Roman"/>
          <w:b/>
          <w:bCs/>
          <w:color w:val="000000" w:themeColor="text1"/>
          <w:sz w:val="21"/>
          <w:szCs w:val="21"/>
          <w:lang w:val="en-US" w:eastAsia="zh-CN"/>
          <w14:textFill>
            <w14:solidFill>
              <w14:schemeClr w14:val="tx1"/>
            </w14:solidFill>
          </w14:textFill>
        </w:rPr>
        <w:t>（B）</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ZHD8优异单倍型的鉴定及利用。</w:t>
      </w:r>
      <w:r>
        <w:rPr>
          <w:rFonts w:hint="default" w:ascii="Times New Roman" w:hAnsi="Times New Roman" w:cs="Times New Roman"/>
          <w:b/>
          <w:bCs/>
          <w:color w:val="000000" w:themeColor="text1"/>
          <w:sz w:val="21"/>
          <w:szCs w:val="21"/>
          <w:lang w:val="en-US" w:eastAsia="zh-CN"/>
          <w14:textFill>
            <w14:solidFill>
              <w14:schemeClr w14:val="tx1"/>
            </w14:solidFill>
          </w14:textFill>
        </w:rPr>
        <w:t>（C）</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Plant Cell专评及EMBO Journal封面。</w:t>
      </w:r>
    </w:p>
    <w:p w14:paraId="2AB5E212">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2" w:firstLineChars="200"/>
        <w:jc w:val="both"/>
        <w:textAlignment w:val="auto"/>
        <w:rPr>
          <w:rFonts w:hint="default" w:ascii="Times New Roman" w:hAnsi="Times New Roman" w:eastAsia="宋体" w:cs="Times New Roman"/>
          <w:b w:val="0"/>
          <w:bCs w:val="0"/>
          <w:color w:val="0000FF"/>
          <w:sz w:val="24"/>
          <w:szCs w:val="24"/>
          <w:lang w:val="en-US" w:eastAsia="zh-CN"/>
        </w:rPr>
      </w:pPr>
      <w:r>
        <w:rPr>
          <w:rFonts w:hint="default" w:ascii="Times New Roman" w:hAnsi="Times New Roman" w:eastAsia="黑体" w:cs="Times New Roman"/>
          <w:b/>
          <w:bCs/>
          <w:color w:val="000000" w:themeColor="text1"/>
          <w:sz w:val="24"/>
          <w:szCs w:val="24"/>
          <w:lang w:val="en-US" w:eastAsia="zh-CN"/>
          <w14:textFill>
            <w14:solidFill>
              <w14:schemeClr w14:val="tx1"/>
            </w14:solidFill>
          </w14:textFill>
        </w:rPr>
        <w:t>创新点2：阐明番茄对病毒病原的广谱识别与免疫机制</w:t>
      </w:r>
      <w:r>
        <w:rPr>
          <w:rFonts w:hint="default" w:ascii="Times New Roman" w:hAnsi="Times New Roman" w:eastAsia="黑体" w:cs="Times New Roman"/>
          <w:b/>
          <w:bCs/>
          <w:color w:val="000000"/>
          <w:sz w:val="24"/>
          <w:szCs w:val="24"/>
          <w:lang w:val="en-US" w:eastAsia="zh-CN"/>
        </w:rPr>
        <w:t>，解析病原菌侵染下番茄褪黑素的合成及其抑制细菌性病害的药靶与分子机理，揭示寄主-病原-环境多元互作与生态调控机理，为番茄抗病育种、生物农药和绿色防控技术研发提供理论基础。</w:t>
      </w:r>
      <w:r>
        <w:rPr>
          <w:rFonts w:hint="default" w:ascii="Times New Roman" w:hAnsi="Times New Roman" w:cs="Times New Roman"/>
          <w:b w:val="0"/>
          <w:bCs w:val="0"/>
          <w:color w:val="000000"/>
          <w:sz w:val="24"/>
          <w:szCs w:val="24"/>
          <w:lang w:val="en-US" w:eastAsia="zh-CN"/>
        </w:rPr>
        <w:t>（旁证材料：代表性科技成果2,3,7,9；创新</w:t>
      </w:r>
      <w:r>
        <w:rPr>
          <w:rFonts w:hint="default" w:ascii="Times New Roman" w:hAnsi="Times New Roman" w:cs="Times New Roman"/>
          <w:b w:val="0"/>
          <w:bCs w:val="0"/>
          <w:color w:val="000000"/>
          <w:sz w:val="24"/>
          <w:szCs w:val="24"/>
          <w:highlight w:val="none"/>
          <w:lang w:val="en-US" w:eastAsia="zh-CN"/>
        </w:rPr>
        <w:t>点2附件清单</w:t>
      </w:r>
      <w:r>
        <w:rPr>
          <w:rFonts w:hint="default" w:ascii="Times New Roman" w:hAnsi="Times New Roman" w:cs="Times New Roman"/>
          <w:b w:val="0"/>
          <w:bCs w:val="0"/>
          <w:color w:val="000000"/>
          <w:sz w:val="24"/>
          <w:szCs w:val="24"/>
          <w:lang w:val="en-US" w:eastAsia="zh-CN"/>
        </w:rPr>
        <w:t>）</w:t>
      </w:r>
    </w:p>
    <w:p w14:paraId="70AB30C7">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0" w:firstLineChars="200"/>
        <w:jc w:val="both"/>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val="0"/>
          <w:bCs w:val="0"/>
          <w:color w:val="000000"/>
          <w:sz w:val="24"/>
          <w:szCs w:val="24"/>
          <w:lang w:val="en-US" w:eastAsia="zh-CN"/>
        </w:rPr>
        <w:t>（1）首次定义番茄褪绿病毒ToCV p59为运动蛋白，鉴定到番茄识别p59的泛素-蛋白酶体系统核心元件AVE3（获命名权）；发现AVE3降解p59限制ToCV胞间扩散，但ToCV亦能利用AVE3破坏寄主氧化还原稳态以促进致病；从番茄驯化群体中挖掘到对p59降解更强且不易被反利用的AVE3优异单倍型，证实其广谱抗病毒机制，创制番茄抗病毒生物育种</w:t>
      </w: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新技术及新种质1个，</w:t>
      </w:r>
      <w:r>
        <w:rPr>
          <w:rFonts w:hint="default" w:ascii="Times New Roman" w:hAnsi="Times New Roman" w:cs="Times New Roman"/>
          <w:b w:val="0"/>
          <w:bCs w:val="0"/>
          <w:color w:val="000000"/>
          <w:sz w:val="24"/>
          <w:szCs w:val="24"/>
          <w:lang w:val="en-US" w:eastAsia="zh-CN"/>
        </w:rPr>
        <w:t>利用AVE3优异单倍型育成‘鲁小番1号’。成果发表于Nature Communications等。</w:t>
      </w:r>
    </w:p>
    <w:p w14:paraId="75BC28EE">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0" w:firstLineChars="200"/>
        <w:jc w:val="both"/>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val="0"/>
          <w:bCs w:val="0"/>
          <w:color w:val="000000"/>
          <w:sz w:val="24"/>
          <w:szCs w:val="24"/>
          <w:lang w:val="en-US" w:eastAsia="zh-CN"/>
        </w:rPr>
        <w:t>（2）解析了真菌/细菌侵染下番茄NO-JA级联调控褪黑素合成及氧化还原稳态的抗病机制，</w:t>
      </w:r>
      <w:r>
        <w:rPr>
          <w:rFonts w:hint="default" w:ascii="Times New Roman" w:hAnsi="Times New Roman" w:cs="Times New Roman"/>
          <w:b w:val="0"/>
          <w:bCs w:val="0"/>
          <w:color w:val="000000"/>
          <w:sz w:val="24"/>
          <w:szCs w:val="24"/>
          <w:highlight w:val="none"/>
          <w:lang w:val="en-US" w:eastAsia="zh-CN"/>
        </w:rPr>
        <w:t>创制番茄高效褪黑素合成基因编辑技术；首</w:t>
      </w:r>
      <w:r>
        <w:rPr>
          <w:rFonts w:hint="default" w:ascii="Times New Roman" w:hAnsi="Times New Roman" w:cs="Times New Roman"/>
          <w:b w:val="0"/>
          <w:bCs w:val="0"/>
          <w:color w:val="000000"/>
          <w:sz w:val="24"/>
          <w:szCs w:val="24"/>
          <w:lang w:val="en-US" w:eastAsia="zh-CN"/>
        </w:rPr>
        <w:t>次鉴定病原细菌褪黑素受体CpxA/R，阐明褪黑素跨界靶向CpxA/R抑制三型分泌系统和病原毒力的分子机制；从寄主抗性与病原毒力抑制双重角度阐明褪黑素的抗病机理</w:t>
      </w:r>
      <w:r>
        <w:rPr>
          <w:rFonts w:hint="default" w:ascii="Times New Roman" w:hAnsi="Times New Roman" w:cs="Times New Roman"/>
          <w:b w:val="0"/>
          <w:bCs w:val="0"/>
          <w:color w:val="000000"/>
          <w:sz w:val="24"/>
          <w:szCs w:val="24"/>
          <w:highlight w:val="none"/>
          <w:lang w:val="en-US" w:eastAsia="zh-CN"/>
        </w:rPr>
        <w:t>，</w:t>
      </w:r>
      <w:r>
        <w:rPr>
          <w:rFonts w:hint="default" w:ascii="Times New Roman" w:hAnsi="Times New Roman" w:cs="Times New Roman"/>
          <w:b w:val="0"/>
          <w:bCs w:val="0"/>
          <w:color w:val="000000"/>
          <w:sz w:val="24"/>
          <w:szCs w:val="24"/>
          <w:lang w:val="en-US" w:eastAsia="zh-CN"/>
        </w:rPr>
        <w:t>为褪黑素先导农药研发提供理论依据和直接药靶，成果发表于Advanced Science等。</w:t>
      </w:r>
    </w:p>
    <w:p w14:paraId="583888D1">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0" w:firstLineChars="200"/>
        <w:jc w:val="both"/>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val="0"/>
          <w:bCs w:val="0"/>
          <w:color w:val="000000"/>
          <w:sz w:val="24"/>
          <w:szCs w:val="24"/>
          <w:lang w:val="en-US" w:eastAsia="zh-CN"/>
        </w:rPr>
        <w:t>（3）发现高氮投入加剧菜田土壤次生盐渍化与土传病害，青枯病随施氮量增加而加重。高氮诱导的GABA信号虽能激活番茄免疫，却被青枯菌OxyR劫持以增强侵染，最终反致病情上升。该结果揭示氮素并非仅影响寄主抗性，而是通过重塑植物-病原化学交流打破生态平衡，为控氮防病提供了生态调控依据。</w:t>
      </w:r>
    </w:p>
    <w:p w14:paraId="27E389E6">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val="0"/>
          <w:bCs w:val="0"/>
          <w:color w:val="000000"/>
          <w:sz w:val="24"/>
          <w:szCs w:val="24"/>
          <w:lang w:val="en-US" w:eastAsia="zh-CN"/>
        </w:rPr>
        <w:drawing>
          <wp:inline distT="0" distB="0" distL="114300" distR="114300">
            <wp:extent cx="5255260" cy="1143000"/>
            <wp:effectExtent l="0" t="0" r="2540" b="0"/>
            <wp:docPr id="1" name="图片 1" descr="创新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创新点2"/>
                    <pic:cNvPicPr>
                      <a:picLocks noChangeAspect="1"/>
                    </pic:cNvPicPr>
                  </pic:nvPicPr>
                  <pic:blipFill>
                    <a:blip r:embed="rId5"/>
                    <a:stretch>
                      <a:fillRect/>
                    </a:stretch>
                  </pic:blipFill>
                  <pic:spPr>
                    <a:xfrm>
                      <a:off x="0" y="0"/>
                      <a:ext cx="5255260" cy="1143000"/>
                    </a:xfrm>
                    <a:prstGeom prst="rect">
                      <a:avLst/>
                    </a:prstGeom>
                  </pic:spPr>
                </pic:pic>
              </a:graphicData>
            </a:graphic>
          </wp:inline>
        </w:drawing>
      </w:r>
    </w:p>
    <w:p w14:paraId="7D258591">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bCs/>
          <w:color w:val="000000" w:themeColor="text1"/>
          <w:sz w:val="21"/>
          <w:szCs w:val="21"/>
          <w:lang w:val="en-US" w:eastAsia="zh-CN"/>
          <w14:textFill>
            <w14:solidFill>
              <w14:schemeClr w14:val="tx1"/>
            </w14:solidFill>
          </w14:textFill>
        </w:rPr>
        <w:t>图2（A）</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AVE3优异单倍型的挖掘及其抗病毒育种应用。</w:t>
      </w:r>
      <w:r>
        <w:rPr>
          <w:rFonts w:hint="default" w:ascii="Times New Roman" w:hAnsi="Times New Roman" w:cs="Times New Roman"/>
          <w:b/>
          <w:bCs/>
          <w:color w:val="000000" w:themeColor="text1"/>
          <w:sz w:val="21"/>
          <w:szCs w:val="21"/>
          <w:lang w:val="en-US" w:eastAsia="zh-CN"/>
          <w14:textFill>
            <w14:solidFill>
              <w14:schemeClr w14:val="tx1"/>
            </w14:solidFill>
          </w14:textFill>
        </w:rPr>
        <w:t>（B）</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内源褪黑素对番茄细菌性角斑病的抗病效果及褪黑素抑菌药靶CpxA/R的毒力抑制机制。</w:t>
      </w:r>
    </w:p>
    <w:p w14:paraId="796B2CDF">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ind w:firstLine="482" w:firstLineChars="200"/>
        <w:jc w:val="both"/>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eastAsia="黑体" w:cs="Times New Roman"/>
          <w:b/>
          <w:bCs/>
          <w:color w:val="000000"/>
          <w:sz w:val="24"/>
          <w:szCs w:val="24"/>
          <w:lang w:val="en-US" w:eastAsia="zh-CN"/>
        </w:rPr>
        <w:t>创新点3：优化番茄种质资源鉴定方法，育成耐盐高抗优质番茄/砧木新品种8个；研发番茄广谱诱抗及土壤改良技术，制定盐碱地番茄耕作模式；集成示范盐碱地番茄绿色生产技术，新品种销售额131</w:t>
      </w:r>
      <w:r>
        <w:rPr>
          <w:rFonts w:hint="default" w:ascii="Times New Roman" w:hAnsi="Times New Roman" w:eastAsia="黑体" w:cs="Times New Roman"/>
          <w:b/>
          <w:bCs/>
          <w:color w:val="000000"/>
          <w:sz w:val="24"/>
          <w:szCs w:val="24"/>
          <w:highlight w:val="none"/>
          <w:lang w:val="en-US" w:eastAsia="zh-CN"/>
        </w:rPr>
        <w:t>万元</w:t>
      </w:r>
      <w:r>
        <w:rPr>
          <w:rFonts w:hint="default" w:ascii="Times New Roman" w:hAnsi="Times New Roman" w:eastAsia="黑体" w:cs="Times New Roman"/>
          <w:b/>
          <w:bCs/>
          <w:color w:val="000000"/>
          <w:sz w:val="24"/>
          <w:szCs w:val="24"/>
          <w:lang w:val="en-US" w:eastAsia="zh-CN"/>
        </w:rPr>
        <w:t>，累计推广60余万亩，增产超15%，显著提升番茄品质，实现生态减肥减药，新增经济效益12亿元。</w:t>
      </w:r>
      <w:r>
        <w:rPr>
          <w:rFonts w:hint="default" w:ascii="Times New Roman" w:hAnsi="Times New Roman" w:cs="Times New Roman"/>
          <w:b w:val="0"/>
          <w:bCs w:val="0"/>
          <w:color w:val="000000"/>
          <w:sz w:val="24"/>
          <w:szCs w:val="24"/>
          <w:lang w:val="en-US" w:eastAsia="zh-CN"/>
        </w:rPr>
        <w:t>（旁证材料：重要获奖证书13；创新</w:t>
      </w:r>
      <w:r>
        <w:rPr>
          <w:rFonts w:hint="default" w:ascii="Times New Roman" w:hAnsi="Times New Roman" w:cs="Times New Roman"/>
          <w:b w:val="0"/>
          <w:bCs w:val="0"/>
          <w:color w:val="000000"/>
          <w:sz w:val="24"/>
          <w:szCs w:val="24"/>
          <w:highlight w:val="none"/>
          <w:lang w:val="en-US" w:eastAsia="zh-CN"/>
        </w:rPr>
        <w:t>点3附件清单</w:t>
      </w:r>
      <w:r>
        <w:rPr>
          <w:rFonts w:hint="default" w:ascii="Times New Roman" w:hAnsi="Times New Roman" w:cs="Times New Roman"/>
          <w:b w:val="0"/>
          <w:bCs w:val="0"/>
          <w:color w:val="000000"/>
          <w:sz w:val="24"/>
          <w:szCs w:val="24"/>
          <w:lang w:val="en-US" w:eastAsia="zh-CN"/>
        </w:rPr>
        <w:t>）</w:t>
      </w:r>
    </w:p>
    <w:p w14:paraId="280E7EC1">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val="0"/>
          <w:bCs w:val="0"/>
          <w:color w:val="000000"/>
          <w:sz w:val="24"/>
          <w:szCs w:val="24"/>
          <w:lang w:val="en-US" w:eastAsia="zh-CN"/>
        </w:rPr>
        <w:t>（1）优化番茄耐盐碱、抗病毒及养分高效利用型种质资源鉴定指标与评价方法。应用新方法评价千余份种质，筛选优异材料67份，创制骨干种质23份，育成番茄新品种5个和砧木3个。‘山农甜粉1号’‘珠玉’‘鲁小番1号’在2~4‰盐碱地的综合农艺性状均超进口对照‘普罗旺斯’和‘釜山88’；‘藜木砧1号’较‘苏祖吉’使嫁接番茄生长势和产量提升10%，耐盐阈值提高&gt;1‰。缓解了盐碱地番茄专用品种匮乏及对进口品种依赖的现状。</w:t>
      </w:r>
    </w:p>
    <w:p w14:paraId="04DB3155">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val="0"/>
          <w:bCs w:val="0"/>
          <w:color w:val="000000"/>
          <w:sz w:val="24"/>
          <w:szCs w:val="24"/>
          <w:lang w:val="en-US" w:eastAsia="zh-CN"/>
        </w:rPr>
        <w:t>（2）</w:t>
      </w:r>
      <w:r>
        <w:rPr>
          <w:rFonts w:hint="default" w:ascii="Times New Roman" w:hAnsi="Times New Roman" w:eastAsia="宋体" w:cs="Times New Roman"/>
          <w:b w:val="0"/>
          <w:bCs w:val="0"/>
          <w:color w:val="000000"/>
          <w:sz w:val="24"/>
          <w:szCs w:val="24"/>
          <w:lang w:val="en-US" w:eastAsia="zh-CN"/>
        </w:rPr>
        <w:t>研发利用嫁接</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val="0"/>
          <w:bCs w:val="0"/>
          <w:color w:val="000000"/>
          <w:sz w:val="24"/>
          <w:szCs w:val="24"/>
          <w:lang w:val="en-US" w:eastAsia="zh-CN"/>
        </w:rPr>
        <w:t>冷等离子体种子引发</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val="0"/>
          <w:bCs w:val="0"/>
          <w:color w:val="000000"/>
          <w:sz w:val="24"/>
          <w:szCs w:val="24"/>
          <w:lang w:val="en-US" w:eastAsia="zh-CN"/>
        </w:rPr>
        <w:t>烟素</w:t>
      </w:r>
      <w:r>
        <w:rPr>
          <w:rFonts w:hint="default" w:ascii="Times New Roman" w:hAnsi="Times New Roman" w:cs="Times New Roman"/>
          <w:b w:val="0"/>
          <w:bCs w:val="0"/>
          <w:color w:val="000000"/>
          <w:sz w:val="24"/>
          <w:szCs w:val="24"/>
          <w:lang w:val="en-US" w:eastAsia="zh-CN"/>
        </w:rPr>
        <w:t>等</w:t>
      </w:r>
      <w:r>
        <w:rPr>
          <w:rFonts w:hint="default" w:ascii="Times New Roman" w:hAnsi="Times New Roman" w:eastAsia="宋体" w:cs="Times New Roman"/>
          <w:b w:val="0"/>
          <w:bCs w:val="0"/>
          <w:color w:val="000000"/>
          <w:sz w:val="24"/>
          <w:szCs w:val="24"/>
          <w:lang w:val="en-US" w:eastAsia="zh-CN"/>
        </w:rPr>
        <w:t>协同增强番茄生长与广谱抗性的</w:t>
      </w:r>
      <w:r>
        <w:rPr>
          <w:rFonts w:hint="default" w:ascii="Times New Roman" w:hAnsi="Times New Roman" w:cs="Times New Roman"/>
          <w:b w:val="0"/>
          <w:bCs w:val="0"/>
          <w:color w:val="000000"/>
          <w:sz w:val="24"/>
          <w:szCs w:val="24"/>
          <w:lang w:val="en-US" w:eastAsia="zh-CN"/>
        </w:rPr>
        <w:t>农艺与化控增效</w:t>
      </w:r>
      <w:r>
        <w:rPr>
          <w:rFonts w:hint="default" w:ascii="Times New Roman" w:hAnsi="Times New Roman" w:eastAsia="宋体" w:cs="Times New Roman"/>
          <w:b w:val="0"/>
          <w:bCs w:val="0"/>
          <w:color w:val="000000"/>
          <w:sz w:val="24"/>
          <w:szCs w:val="24"/>
          <w:lang w:val="en-US" w:eastAsia="zh-CN"/>
        </w:rPr>
        <w:t>技术，发明利用褪黑素等促进番茄生根与坐果的新方法，</w:t>
      </w:r>
      <w:r>
        <w:rPr>
          <w:rFonts w:hint="default" w:ascii="Times New Roman" w:hAnsi="Times New Roman" w:cs="Times New Roman"/>
          <w:b w:val="0"/>
          <w:bCs w:val="0"/>
          <w:color w:val="000000"/>
          <w:sz w:val="24"/>
          <w:szCs w:val="24"/>
          <w:lang w:val="en-US" w:eastAsia="zh-CN"/>
        </w:rPr>
        <w:t>创新GABA等在降低果实产品农残和重金属富集中的新应用，优化口感型番茄植株调整与水肥管理方案，</w:t>
      </w:r>
      <w:r>
        <w:rPr>
          <w:rFonts w:hint="default" w:ascii="Times New Roman" w:hAnsi="Times New Roman" w:eastAsia="宋体" w:cs="Times New Roman"/>
          <w:b w:val="0"/>
          <w:bCs w:val="0"/>
          <w:color w:val="000000"/>
          <w:sz w:val="24"/>
          <w:szCs w:val="24"/>
          <w:lang w:val="en-US" w:eastAsia="zh-CN"/>
        </w:rPr>
        <w:t>发明盐碱地土壤pH的时空变化特征分析方法</w:t>
      </w:r>
      <w:r>
        <w:rPr>
          <w:rFonts w:hint="default" w:ascii="Times New Roman" w:hAnsi="Times New Roman" w:cs="Times New Roman"/>
          <w:b w:val="0"/>
          <w:bCs w:val="0"/>
          <w:color w:val="000000"/>
          <w:sz w:val="24"/>
          <w:szCs w:val="24"/>
          <w:lang w:val="en-US" w:eastAsia="zh-CN"/>
        </w:rPr>
        <w:t>，</w:t>
      </w:r>
      <w:r>
        <w:rPr>
          <w:rFonts w:hint="default" w:ascii="Times New Roman" w:hAnsi="Times New Roman" w:eastAsia="宋体" w:cs="Times New Roman"/>
          <w:b w:val="0"/>
          <w:bCs w:val="0"/>
          <w:color w:val="000000"/>
          <w:sz w:val="24"/>
          <w:szCs w:val="24"/>
          <w:lang w:val="en-US" w:eastAsia="zh-CN"/>
        </w:rPr>
        <w:t>分离、鉴定</w:t>
      </w:r>
      <w:r>
        <w:rPr>
          <w:rFonts w:hint="default" w:ascii="Times New Roman" w:hAnsi="Times New Roman" w:cs="Times New Roman"/>
          <w:b w:val="0"/>
          <w:bCs w:val="0"/>
          <w:color w:val="000000"/>
          <w:sz w:val="24"/>
          <w:szCs w:val="24"/>
          <w:lang w:val="en-US" w:eastAsia="zh-CN"/>
        </w:rPr>
        <w:t>耐盐碱</w:t>
      </w:r>
      <w:r>
        <w:rPr>
          <w:rFonts w:hint="default" w:ascii="Times New Roman" w:hAnsi="Times New Roman" w:eastAsia="宋体" w:cs="Times New Roman"/>
          <w:b w:val="0"/>
          <w:bCs w:val="0"/>
          <w:color w:val="000000"/>
          <w:sz w:val="24"/>
          <w:szCs w:val="24"/>
          <w:lang w:val="en-US" w:eastAsia="zh-CN"/>
        </w:rPr>
        <w:t>多功能根际促生菌</w:t>
      </w:r>
      <w:r>
        <w:rPr>
          <w:rFonts w:hint="default" w:ascii="Times New Roman" w:hAnsi="Times New Roman" w:cs="Times New Roman"/>
          <w:b w:val="0"/>
          <w:bCs w:val="0"/>
          <w:color w:val="000000"/>
          <w:sz w:val="24"/>
          <w:szCs w:val="24"/>
          <w:lang w:val="en-US" w:eastAsia="zh-CN"/>
        </w:rPr>
        <w:t>（已商业转化）</w:t>
      </w:r>
      <w:r>
        <w:rPr>
          <w:rFonts w:hint="default" w:ascii="Times New Roman" w:hAnsi="Times New Roman" w:eastAsia="宋体" w:cs="Times New Roman"/>
          <w:b w:val="0"/>
          <w:bCs w:val="0"/>
          <w:color w:val="000000"/>
          <w:sz w:val="24"/>
          <w:szCs w:val="24"/>
          <w:lang w:val="en-US" w:eastAsia="zh-CN"/>
        </w:rPr>
        <w:t>，</w:t>
      </w:r>
      <w:r>
        <w:rPr>
          <w:rFonts w:hint="default" w:ascii="Times New Roman" w:hAnsi="Times New Roman" w:cs="Times New Roman"/>
          <w:b w:val="0"/>
          <w:bCs w:val="0"/>
          <w:color w:val="000000"/>
          <w:sz w:val="24"/>
          <w:szCs w:val="24"/>
          <w:lang w:val="en-US" w:eastAsia="zh-CN"/>
        </w:rPr>
        <w:t>研发并</w:t>
      </w:r>
      <w:r>
        <w:rPr>
          <w:rFonts w:hint="default" w:ascii="Times New Roman" w:hAnsi="Times New Roman" w:eastAsia="宋体" w:cs="Times New Roman"/>
          <w:b w:val="0"/>
          <w:bCs w:val="0"/>
          <w:color w:val="000000"/>
          <w:sz w:val="24"/>
          <w:szCs w:val="24"/>
          <w:lang w:val="en-US" w:eastAsia="zh-CN"/>
        </w:rPr>
        <w:t>制定</w:t>
      </w:r>
      <w:r>
        <w:rPr>
          <w:rFonts w:hint="default" w:ascii="Times New Roman" w:hAnsi="Times New Roman" w:cs="Times New Roman"/>
          <w:b w:val="0"/>
          <w:bCs w:val="0"/>
          <w:color w:val="000000"/>
          <w:sz w:val="24"/>
          <w:szCs w:val="24"/>
          <w:lang w:val="en-US" w:eastAsia="zh-CN"/>
        </w:rPr>
        <w:t>设施土壤</w:t>
      </w:r>
      <w:r>
        <w:rPr>
          <w:rFonts w:hint="default" w:ascii="Times New Roman" w:hAnsi="Times New Roman" w:eastAsia="宋体" w:cs="Times New Roman"/>
          <w:b w:val="0"/>
          <w:bCs w:val="0"/>
          <w:color w:val="000000"/>
          <w:sz w:val="24"/>
          <w:szCs w:val="24"/>
          <w:lang w:val="en-US" w:eastAsia="zh-CN"/>
        </w:rPr>
        <w:t>生物熏蒸</w:t>
      </w:r>
      <w:r>
        <w:rPr>
          <w:rFonts w:hint="default" w:ascii="Times New Roman" w:hAnsi="Times New Roman" w:cs="Times New Roman"/>
          <w:b w:val="0"/>
          <w:bCs w:val="0"/>
          <w:color w:val="000000"/>
          <w:sz w:val="24"/>
          <w:szCs w:val="24"/>
          <w:lang w:val="en-US" w:eastAsia="zh-CN"/>
        </w:rPr>
        <w:t>、口感型番茄周年栽培、</w:t>
      </w:r>
      <w:r>
        <w:rPr>
          <w:rFonts w:hint="default" w:ascii="Times New Roman" w:hAnsi="Times New Roman" w:eastAsia="宋体" w:cs="Times New Roman"/>
          <w:b w:val="0"/>
          <w:bCs w:val="0"/>
          <w:color w:val="000000"/>
          <w:sz w:val="24"/>
          <w:szCs w:val="24"/>
          <w:lang w:val="en-US" w:eastAsia="zh-CN"/>
        </w:rPr>
        <w:t>盐碱地菌菜轮作</w:t>
      </w:r>
      <w:r>
        <w:rPr>
          <w:rFonts w:hint="default" w:ascii="Times New Roman" w:hAnsi="Times New Roman" w:cs="Times New Roman"/>
          <w:b w:val="0"/>
          <w:bCs w:val="0"/>
          <w:color w:val="000000"/>
          <w:sz w:val="24"/>
          <w:szCs w:val="24"/>
          <w:lang w:val="en-US" w:eastAsia="zh-CN"/>
        </w:rPr>
        <w:t>与富硒栽培</w:t>
      </w:r>
      <w:r>
        <w:rPr>
          <w:rFonts w:hint="default" w:ascii="Times New Roman" w:hAnsi="Times New Roman" w:eastAsia="宋体" w:cs="Times New Roman"/>
          <w:b w:val="0"/>
          <w:bCs w:val="0"/>
          <w:color w:val="000000"/>
          <w:sz w:val="24"/>
          <w:szCs w:val="24"/>
          <w:lang w:val="en-US" w:eastAsia="zh-CN"/>
        </w:rPr>
        <w:t>等技术规程</w:t>
      </w:r>
      <w:r>
        <w:rPr>
          <w:rFonts w:hint="default" w:ascii="Times New Roman" w:hAnsi="Times New Roman" w:cs="Times New Roman"/>
          <w:b w:val="0"/>
          <w:bCs w:val="0"/>
          <w:color w:val="000000"/>
          <w:sz w:val="24"/>
          <w:szCs w:val="24"/>
          <w:lang w:val="en-US" w:eastAsia="zh-CN"/>
        </w:rPr>
        <w:t>4项</w:t>
      </w:r>
      <w:r>
        <w:rPr>
          <w:rFonts w:hint="default" w:ascii="Times New Roman" w:hAnsi="Times New Roman" w:eastAsia="宋体" w:cs="Times New Roman"/>
          <w:b w:val="0"/>
          <w:bCs w:val="0"/>
          <w:color w:val="000000"/>
          <w:sz w:val="24"/>
          <w:szCs w:val="24"/>
          <w:lang w:val="en-US" w:eastAsia="zh-CN"/>
        </w:rPr>
        <w:t>。提升盐碱地耕地质量3-5个等级</w:t>
      </w:r>
      <w:r>
        <w:rPr>
          <w:rFonts w:hint="default" w:ascii="Times New Roman" w:hAnsi="Times New Roman" w:cs="Times New Roman"/>
          <w:b w:val="0"/>
          <w:bCs w:val="0"/>
          <w:color w:val="000000"/>
          <w:sz w:val="24"/>
          <w:szCs w:val="24"/>
          <w:lang w:val="en-US" w:eastAsia="zh-CN"/>
        </w:rPr>
        <w:t>，增强广谱抗性、改善盐碱地番茄根系再生弱、缓苗成活率低、落花落果重，节水减肥、降低农残与重金属富集，推动绿色生产。</w:t>
      </w:r>
    </w:p>
    <w:p w14:paraId="51A7A5C8">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cs="Times New Roman"/>
          <w:b w:val="0"/>
          <w:bCs w:val="0"/>
          <w:color w:val="000000"/>
          <w:sz w:val="24"/>
          <w:szCs w:val="24"/>
          <w:lang w:val="en-US" w:eastAsia="zh-CN"/>
        </w:rPr>
      </w:pPr>
      <w:r>
        <w:rPr>
          <w:rFonts w:hint="default" w:ascii="Times New Roman" w:hAnsi="Times New Roman" w:cs="Times New Roman"/>
          <w:b w:val="0"/>
          <w:bCs w:val="0"/>
          <w:color w:val="000000"/>
          <w:sz w:val="24"/>
          <w:szCs w:val="24"/>
          <w:lang w:val="en-US" w:eastAsia="zh-CN"/>
        </w:rPr>
        <w:t>（3）</w:t>
      </w:r>
      <w:r>
        <w:rPr>
          <w:rFonts w:hint="default" w:ascii="Times New Roman" w:hAnsi="Times New Roman" w:eastAsia="宋体" w:cs="Times New Roman"/>
          <w:b w:val="0"/>
          <w:bCs w:val="0"/>
          <w:color w:val="000000"/>
          <w:sz w:val="24"/>
          <w:szCs w:val="24"/>
          <w:lang w:val="en-US" w:eastAsia="zh-CN"/>
        </w:rPr>
        <w:t>近五年</w:t>
      </w:r>
      <w:r>
        <w:rPr>
          <w:rFonts w:hint="default" w:ascii="Times New Roman" w:hAnsi="Times New Roman" w:cs="Times New Roman"/>
          <w:b w:val="0"/>
          <w:bCs w:val="0"/>
          <w:color w:val="000000"/>
          <w:sz w:val="24"/>
          <w:szCs w:val="24"/>
          <w:lang w:val="en-US" w:eastAsia="zh-CN"/>
        </w:rPr>
        <w:t>，番茄新品种销售额达131万元，良种良法配套，</w:t>
      </w:r>
      <w:r>
        <w:rPr>
          <w:rFonts w:hint="default" w:ascii="Times New Roman" w:hAnsi="Times New Roman" w:eastAsia="宋体" w:cs="Times New Roman"/>
          <w:b w:val="0"/>
          <w:bCs w:val="0"/>
          <w:color w:val="000000"/>
          <w:sz w:val="24"/>
          <w:szCs w:val="24"/>
          <w:lang w:val="en-US" w:eastAsia="zh-CN"/>
        </w:rPr>
        <w:t>在黄河流域盐碱地区累计推广60余万亩，增产超15%，显著提升番茄品质，实现生态减</w:t>
      </w:r>
      <w:r>
        <w:rPr>
          <w:rFonts w:hint="default" w:ascii="Times New Roman" w:hAnsi="Times New Roman" w:cs="Times New Roman"/>
          <w:b w:val="0"/>
          <w:bCs w:val="0"/>
          <w:color w:val="000000"/>
          <w:sz w:val="24"/>
          <w:szCs w:val="24"/>
          <w:lang w:val="en-US" w:eastAsia="zh-CN"/>
        </w:rPr>
        <w:t>肥减</w:t>
      </w:r>
      <w:r>
        <w:rPr>
          <w:rFonts w:hint="default" w:ascii="Times New Roman" w:hAnsi="Times New Roman" w:eastAsia="宋体" w:cs="Times New Roman"/>
          <w:b w:val="0"/>
          <w:bCs w:val="0"/>
          <w:color w:val="000000"/>
          <w:sz w:val="24"/>
          <w:szCs w:val="24"/>
          <w:lang w:val="en-US" w:eastAsia="zh-CN"/>
        </w:rPr>
        <w:t>药，新增经济效益12亿元。</w:t>
      </w:r>
      <w:r>
        <w:rPr>
          <w:rFonts w:hint="default"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eastAsia="zh-CN"/>
        </w:rPr>
        <w:t>基于根区生态优化的设施蔬菜绿色生产关键技术研发应用</w:t>
      </w:r>
      <w:r>
        <w:rPr>
          <w:rFonts w:hint="default"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获</w:t>
      </w:r>
      <w:r>
        <w:rPr>
          <w:rFonts w:hint="default" w:ascii="Times New Roman" w:hAnsi="Times New Roman" w:eastAsia="宋体" w:cs="Times New Roman"/>
          <w:b w:val="0"/>
          <w:bCs w:val="0"/>
          <w:sz w:val="24"/>
          <w:szCs w:val="24"/>
          <w:lang w:eastAsia="zh-CN"/>
        </w:rPr>
        <w:t>山东省科学技术进步二等奖</w:t>
      </w:r>
      <w:r>
        <w:rPr>
          <w:rFonts w:hint="default" w:ascii="Times New Roman" w:hAnsi="Times New Roman" w:cs="Times New Roman"/>
          <w:b w:val="0"/>
          <w:bCs w:val="0"/>
          <w:sz w:val="24"/>
          <w:szCs w:val="24"/>
          <w:lang w:val="en-US" w:eastAsia="zh-CN"/>
        </w:rPr>
        <w:t>和</w:t>
      </w:r>
      <w:r>
        <w:rPr>
          <w:rFonts w:hint="default" w:ascii="Times New Roman" w:hAnsi="Times New Roman" w:cs="Times New Roman"/>
          <w:sz w:val="24"/>
          <w:szCs w:val="24"/>
          <w:lang w:val="en-US" w:eastAsia="zh-CN"/>
        </w:rPr>
        <w:t>山东省农业技术推广成果优选计划</w:t>
      </w:r>
      <w:r>
        <w:rPr>
          <w:rFonts w:hint="default" w:ascii="Times New Roman" w:hAnsi="Times New Roman" w:eastAsia="宋体" w:cs="Times New Roman"/>
          <w:b w:val="0"/>
          <w:bCs w:val="0"/>
          <w:sz w:val="24"/>
          <w:szCs w:val="24"/>
          <w:lang w:eastAsia="zh-CN"/>
        </w:rPr>
        <w:t>。</w:t>
      </w:r>
    </w:p>
    <w:p w14:paraId="3E6646A6">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drawing>
          <wp:inline distT="0" distB="0" distL="114300" distR="114300">
            <wp:extent cx="5251450" cy="3023870"/>
            <wp:effectExtent l="0" t="0" r="6350" b="11430"/>
            <wp:docPr id="2" name="图片 2" descr="创新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创新点3"/>
                    <pic:cNvPicPr>
                      <a:picLocks noChangeAspect="1"/>
                    </pic:cNvPicPr>
                  </pic:nvPicPr>
                  <pic:blipFill>
                    <a:blip r:embed="rId6"/>
                    <a:stretch>
                      <a:fillRect/>
                    </a:stretch>
                  </pic:blipFill>
                  <pic:spPr>
                    <a:xfrm>
                      <a:off x="0" y="0"/>
                      <a:ext cx="5251450" cy="3023870"/>
                    </a:xfrm>
                    <a:prstGeom prst="rect">
                      <a:avLst/>
                    </a:prstGeom>
                  </pic:spPr>
                </pic:pic>
              </a:graphicData>
            </a:graphic>
          </wp:inline>
        </w:drawing>
      </w:r>
    </w:p>
    <w:p w14:paraId="65A499E3">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bCs/>
          <w:color w:val="000000" w:themeColor="text1"/>
          <w:sz w:val="21"/>
          <w:szCs w:val="21"/>
          <w:lang w:val="en-US" w:eastAsia="zh-CN"/>
          <w14:textFill>
            <w14:solidFill>
              <w14:schemeClr w14:val="tx1"/>
            </w14:solidFill>
          </w14:textFill>
        </w:rPr>
        <w:t>图3（A）‘</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珠玉’番茄在盐碱地区的田间表现。</w:t>
      </w:r>
      <w:r>
        <w:rPr>
          <w:rFonts w:hint="default" w:ascii="Times New Roman" w:hAnsi="Times New Roman" w:cs="Times New Roman"/>
          <w:b/>
          <w:bCs/>
          <w:color w:val="000000" w:themeColor="text1"/>
          <w:sz w:val="21"/>
          <w:szCs w:val="21"/>
          <w:lang w:val="en-US" w:eastAsia="zh-CN"/>
          <w14:textFill>
            <w14:solidFill>
              <w14:schemeClr w14:val="tx1"/>
            </w14:solidFill>
          </w14:textFill>
        </w:rPr>
        <w:t>（B）</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可进口替代‘普罗旺斯’的番茄新品种‘山农甜粉1号’。</w:t>
      </w:r>
      <w:r>
        <w:rPr>
          <w:rFonts w:hint="default" w:ascii="Times New Roman" w:hAnsi="Times New Roman" w:cs="Times New Roman"/>
          <w:b/>
          <w:bCs/>
          <w:color w:val="000000" w:themeColor="text1"/>
          <w:sz w:val="21"/>
          <w:szCs w:val="21"/>
          <w:lang w:val="en-US" w:eastAsia="zh-CN"/>
          <w14:textFill>
            <w14:solidFill>
              <w14:schemeClr w14:val="tx1"/>
            </w14:solidFill>
          </w14:textFill>
        </w:rPr>
        <w:t>（C）</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‘藜木砧1号’嫁接番茄的耐盐碱表型。</w:t>
      </w:r>
      <w:r>
        <w:rPr>
          <w:rFonts w:hint="default" w:ascii="Times New Roman" w:hAnsi="Times New Roman" w:cs="Times New Roman"/>
          <w:b/>
          <w:bCs/>
          <w:color w:val="000000" w:themeColor="text1"/>
          <w:sz w:val="21"/>
          <w:szCs w:val="21"/>
          <w:lang w:val="en-US" w:eastAsia="zh-CN"/>
          <w14:textFill>
            <w14:solidFill>
              <w14:schemeClr w14:val="tx1"/>
            </w14:solidFill>
          </w14:textFill>
        </w:rPr>
        <w:t>（D）</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冷等离子体种子引发装置工作模型、样机及其处理效果。</w:t>
      </w:r>
      <w:r>
        <w:rPr>
          <w:rFonts w:hint="default" w:ascii="Times New Roman" w:hAnsi="Times New Roman" w:cs="Times New Roman"/>
          <w:b/>
          <w:bCs/>
          <w:color w:val="000000" w:themeColor="text1"/>
          <w:sz w:val="21"/>
          <w:szCs w:val="21"/>
          <w:lang w:val="en-US" w:eastAsia="zh-CN"/>
          <w14:textFill>
            <w14:solidFill>
              <w14:schemeClr w14:val="tx1"/>
            </w14:solidFill>
          </w14:textFill>
        </w:rPr>
        <w:t>（E）</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菌菜轮作新模式实现中重度盐碱地番茄生产。</w:t>
      </w:r>
      <w:r>
        <w:rPr>
          <w:rFonts w:hint="default" w:ascii="Times New Roman" w:hAnsi="Times New Roman" w:cs="Times New Roman"/>
          <w:b/>
          <w:bCs/>
          <w:color w:val="000000" w:themeColor="text1"/>
          <w:sz w:val="21"/>
          <w:szCs w:val="21"/>
          <w:lang w:val="en-US" w:eastAsia="zh-CN"/>
          <w14:textFill>
            <w14:solidFill>
              <w14:schemeClr w14:val="tx1"/>
            </w14:solidFill>
          </w14:textFill>
        </w:rPr>
        <w:t>（F）</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良种良法集成效果。</w:t>
      </w:r>
      <w:r>
        <w:rPr>
          <w:rFonts w:hint="default" w:ascii="Times New Roman" w:hAnsi="Times New Roman" w:cs="Times New Roman"/>
          <w:b/>
          <w:bCs/>
          <w:color w:val="000000" w:themeColor="text1"/>
          <w:sz w:val="21"/>
          <w:szCs w:val="21"/>
          <w:lang w:val="en-US" w:eastAsia="zh-CN"/>
          <w14:textFill>
            <w14:solidFill>
              <w14:schemeClr w14:val="tx1"/>
            </w14:solidFill>
          </w14:textFill>
        </w:rPr>
        <w:t>（G）</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山东省科技进步二等奖。</w:t>
      </w:r>
    </w:p>
    <w:p w14:paraId="4C649E51">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jc w:val="both"/>
        <w:textAlignment w:val="auto"/>
        <w:rPr>
          <w:rFonts w:hint="default" w:ascii="Times New Roman" w:hAnsi="Times New Roman" w:eastAsia="黑体" w:cs="Times New Roman"/>
          <w:b/>
          <w:bCs/>
          <w:color w:val="000000"/>
          <w:sz w:val="28"/>
          <w:szCs w:val="28"/>
          <w:lang w:val="en-US" w:eastAsia="zh-CN"/>
        </w:rPr>
      </w:pPr>
      <w:r>
        <w:rPr>
          <w:rFonts w:hint="default" w:ascii="Times New Roman" w:hAnsi="Times New Roman" w:eastAsia="黑体" w:cs="Times New Roman"/>
          <w:b/>
          <w:bCs/>
          <w:color w:val="000000"/>
          <w:sz w:val="28"/>
          <w:szCs w:val="28"/>
          <w:lang w:val="en-US" w:eastAsia="zh-CN"/>
        </w:rPr>
        <w:t>3. 研究工作与“四个面向”的紧密结合情况</w:t>
      </w:r>
    </w:p>
    <w:p w14:paraId="4FED8646">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ind w:firstLine="480" w:firstLineChars="200"/>
        <w:textAlignment w:val="auto"/>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紧密围绕“四个面向”全面创新：【</w:t>
      </w:r>
      <w:r>
        <w:rPr>
          <w:rFonts w:hint="default" w:ascii="Times New Roman" w:hAnsi="Times New Roman" w:cs="Times New Roman"/>
          <w:b/>
          <w:bCs/>
          <w:color w:val="000000" w:themeColor="text1"/>
          <w:sz w:val="24"/>
          <w:szCs w:val="24"/>
          <w:lang w:val="en-US" w:eastAsia="zh-CN"/>
          <w14:textFill>
            <w14:solidFill>
              <w14:schemeClr w14:val="tx1"/>
            </w14:solidFill>
          </w14:textFill>
        </w:rPr>
        <w:t>面向世界科技前沿】</w:t>
      </w: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在盐碱胁迫信号转导、抗性-品质协同调控、植物-病原互作识别与跨界信号交流领域取得原创性突破，成果发表于EMBO Journal、Nature Communications、Advanced Science、Plant Cell等顶级期刊，获国际专评、封面论文、高被引论文等；【</w:t>
      </w:r>
      <w:r>
        <w:rPr>
          <w:rFonts w:hint="default" w:ascii="Times New Roman" w:hAnsi="Times New Roman" w:cs="Times New Roman"/>
          <w:b/>
          <w:bCs/>
          <w:color w:val="000000" w:themeColor="text1"/>
          <w:sz w:val="24"/>
          <w:szCs w:val="24"/>
          <w:lang w:val="en-US" w:eastAsia="zh-CN"/>
          <w14:textFill>
            <w14:solidFill>
              <w14:schemeClr w14:val="tx1"/>
            </w14:solidFill>
          </w14:textFill>
        </w:rPr>
        <w:t>面向国家重大需求】</w:t>
      </w: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响应“盐碱地综合利用”和“种源安全”战略，育成可替代进口的耐盐优质新品种及砧木，打破高端种源对外依赖，“以种适地”突破盐碱地专用品种匮乏的瓶颈；【</w:t>
      </w:r>
      <w:r>
        <w:rPr>
          <w:rFonts w:hint="default" w:ascii="Times New Roman" w:hAnsi="Times New Roman" w:cs="Times New Roman"/>
          <w:b/>
          <w:bCs/>
          <w:color w:val="000000" w:themeColor="text1"/>
          <w:sz w:val="24"/>
          <w:szCs w:val="24"/>
          <w:lang w:val="en-US" w:eastAsia="zh-CN"/>
          <w14:textFill>
            <w14:solidFill>
              <w14:schemeClr w14:val="tx1"/>
            </w14:solidFill>
          </w14:textFill>
        </w:rPr>
        <w:t>面向经济主战场】</w:t>
      </w: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盘活后备耕地资源，缓解良田紧张，优化高端番茄产区布局，稳定市场保供。良种良法配套在黄河流域和滨海盐碱地区推广60余万亩，新增经济效益12亿元，获山东省科技进步二等奖；【</w:t>
      </w:r>
      <w:r>
        <w:rPr>
          <w:rFonts w:hint="default" w:ascii="Times New Roman" w:hAnsi="Times New Roman" w:cs="Times New Roman"/>
          <w:b/>
          <w:bCs/>
          <w:color w:val="000000" w:themeColor="text1"/>
          <w:sz w:val="24"/>
          <w:szCs w:val="24"/>
          <w:lang w:val="en-US" w:eastAsia="zh-CN"/>
          <w14:textFill>
            <w14:solidFill>
              <w14:schemeClr w14:val="tx1"/>
            </w14:solidFill>
          </w14:textFill>
        </w:rPr>
        <w:t>面向人民生命健康】</w:t>
      </w: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研发生态减肥减药与品质提升技术，制定绿色技术规程4项，有效降低农业面源污染及农产品有害残留，实现盐碱地农业绿色可持续发展。成果贯通理论突破、种源创新与产业应用，为保障农业高质量发展提供理论与技术支持。</w:t>
      </w:r>
    </w:p>
    <w:p w14:paraId="49415B2C">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textAlignment w:val="auto"/>
        <w:rPr>
          <w:rFonts w:hint="default" w:ascii="Times New Roman" w:hAnsi="Times New Roman" w:eastAsia="黑体" w:cs="Times New Roman"/>
          <w:b/>
          <w:bCs/>
          <w:sz w:val="28"/>
          <w:szCs w:val="28"/>
          <w:lang w:val="en-US" w:eastAsia="zh-CN"/>
        </w:rPr>
      </w:pPr>
      <w:r>
        <w:rPr>
          <w:rFonts w:hint="default" w:ascii="Times New Roman" w:hAnsi="Times New Roman" w:eastAsia="黑体" w:cs="Times New Roman"/>
          <w:b/>
          <w:bCs/>
          <w:sz w:val="28"/>
          <w:szCs w:val="28"/>
          <w:lang w:val="en-US" w:eastAsia="zh-CN"/>
        </w:rPr>
        <w:t>附表：重大科技任务（不超过10项）</w:t>
      </w:r>
    </w:p>
    <w:tbl>
      <w:tblPr>
        <w:tblStyle w:val="4"/>
        <w:tblW w:w="493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3"/>
        <w:gridCol w:w="1010"/>
        <w:gridCol w:w="3312"/>
        <w:gridCol w:w="2374"/>
        <w:gridCol w:w="735"/>
        <w:gridCol w:w="463"/>
      </w:tblGrid>
      <w:tr w14:paraId="13682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6D8B250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黑体" w:cs="Times New Roman"/>
                <w:b/>
                <w:bCs/>
                <w:sz w:val="24"/>
                <w:szCs w:val="24"/>
                <w:vertAlign w:val="baseline"/>
                <w:lang w:val="en-US" w:eastAsia="zh-CN"/>
              </w:rPr>
            </w:pPr>
            <w:r>
              <w:rPr>
                <w:rFonts w:hint="default" w:ascii="Times New Roman" w:hAnsi="Times New Roman" w:eastAsia="黑体" w:cs="Times New Roman"/>
                <w:b/>
                <w:bCs/>
                <w:sz w:val="24"/>
                <w:szCs w:val="24"/>
                <w:vertAlign w:val="baseline"/>
                <w:lang w:val="en-US" w:eastAsia="zh-CN"/>
              </w:rPr>
              <w:t>序号</w:t>
            </w:r>
          </w:p>
        </w:tc>
        <w:tc>
          <w:tcPr>
            <w:tcW w:w="599" w:type="pct"/>
            <w:vAlign w:val="center"/>
          </w:tcPr>
          <w:p w14:paraId="04D66EFA">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黑体" w:cs="Times New Roman"/>
                <w:b/>
                <w:bCs/>
                <w:sz w:val="24"/>
                <w:szCs w:val="24"/>
                <w:vertAlign w:val="baseline"/>
                <w:lang w:val="en-US" w:eastAsia="zh-CN"/>
              </w:rPr>
            </w:pPr>
            <w:r>
              <w:rPr>
                <w:rFonts w:hint="default" w:ascii="Times New Roman" w:hAnsi="Times New Roman" w:eastAsia="黑体" w:cs="Times New Roman"/>
                <w:b/>
                <w:bCs/>
                <w:sz w:val="24"/>
                <w:szCs w:val="24"/>
                <w:vertAlign w:val="baseline"/>
                <w:lang w:val="en-US" w:eastAsia="zh-CN"/>
              </w:rPr>
              <w:t>执行期</w:t>
            </w:r>
          </w:p>
        </w:tc>
        <w:tc>
          <w:tcPr>
            <w:tcW w:w="1967" w:type="pct"/>
            <w:vAlign w:val="center"/>
          </w:tcPr>
          <w:p w14:paraId="05DDDD17">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黑体" w:cs="Times New Roman"/>
                <w:b/>
                <w:bCs/>
                <w:sz w:val="24"/>
                <w:szCs w:val="24"/>
                <w:vertAlign w:val="baseline"/>
                <w:lang w:val="en-US" w:eastAsia="zh-CN"/>
              </w:rPr>
            </w:pPr>
            <w:r>
              <w:rPr>
                <w:rFonts w:hint="default" w:ascii="Times New Roman" w:hAnsi="Times New Roman" w:eastAsia="黑体" w:cs="Times New Roman"/>
                <w:b/>
                <w:bCs/>
                <w:sz w:val="24"/>
                <w:szCs w:val="24"/>
                <w:vertAlign w:val="baseline"/>
                <w:lang w:val="en-US" w:eastAsia="zh-CN"/>
              </w:rPr>
              <w:t>项目名称</w:t>
            </w:r>
          </w:p>
        </w:tc>
        <w:tc>
          <w:tcPr>
            <w:tcW w:w="1410" w:type="pct"/>
            <w:vAlign w:val="center"/>
          </w:tcPr>
          <w:p w14:paraId="4443FDDA">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黑体" w:cs="Times New Roman"/>
                <w:b/>
                <w:bCs/>
                <w:sz w:val="24"/>
                <w:szCs w:val="24"/>
                <w:vertAlign w:val="baseline"/>
                <w:lang w:val="en-US" w:eastAsia="zh-CN"/>
              </w:rPr>
            </w:pPr>
            <w:r>
              <w:rPr>
                <w:rFonts w:hint="default" w:ascii="Times New Roman" w:hAnsi="Times New Roman" w:eastAsia="黑体" w:cs="Times New Roman"/>
                <w:b/>
                <w:bCs/>
                <w:sz w:val="24"/>
                <w:szCs w:val="24"/>
                <w:vertAlign w:val="baseline"/>
                <w:lang w:val="en-US" w:eastAsia="zh-CN"/>
              </w:rPr>
              <w:t>项目类别</w:t>
            </w:r>
          </w:p>
        </w:tc>
        <w:tc>
          <w:tcPr>
            <w:tcW w:w="436" w:type="pct"/>
            <w:vAlign w:val="center"/>
          </w:tcPr>
          <w:p w14:paraId="1CA7581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黑体" w:cs="Times New Roman"/>
                <w:b/>
                <w:bCs/>
                <w:sz w:val="24"/>
                <w:szCs w:val="24"/>
                <w:vertAlign w:val="baseline"/>
                <w:lang w:val="en-US" w:eastAsia="zh-CN"/>
              </w:rPr>
            </w:pPr>
            <w:r>
              <w:rPr>
                <w:rFonts w:hint="default" w:ascii="Times New Roman" w:hAnsi="Times New Roman" w:eastAsia="黑体" w:cs="Times New Roman"/>
                <w:b/>
                <w:bCs/>
                <w:sz w:val="24"/>
                <w:szCs w:val="24"/>
                <w:vertAlign w:val="baseline"/>
                <w:lang w:val="en-US" w:eastAsia="zh-CN"/>
              </w:rPr>
              <w:t>经费</w:t>
            </w:r>
          </w:p>
          <w:p w14:paraId="18DF5C9B">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黑体" w:cs="Times New Roman"/>
                <w:b/>
                <w:bCs/>
                <w:sz w:val="24"/>
                <w:szCs w:val="24"/>
                <w:vertAlign w:val="baseline"/>
                <w:lang w:val="en-US" w:eastAsia="zh-CN"/>
              </w:rPr>
            </w:pPr>
            <w:r>
              <w:rPr>
                <w:rFonts w:hint="default" w:ascii="Times New Roman" w:hAnsi="Times New Roman" w:eastAsia="黑体" w:cs="Times New Roman"/>
                <w:b/>
                <w:bCs/>
                <w:sz w:val="24"/>
                <w:szCs w:val="24"/>
                <w:vertAlign w:val="baseline"/>
                <w:lang w:val="en-US" w:eastAsia="zh-CN"/>
              </w:rPr>
              <w:t>万元</w:t>
            </w:r>
          </w:p>
        </w:tc>
        <w:tc>
          <w:tcPr>
            <w:tcW w:w="275" w:type="pct"/>
            <w:vAlign w:val="center"/>
          </w:tcPr>
          <w:p w14:paraId="16D22999">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黑体" w:cs="Times New Roman"/>
                <w:b/>
                <w:bCs/>
                <w:sz w:val="24"/>
                <w:szCs w:val="24"/>
                <w:vertAlign w:val="baseline"/>
                <w:lang w:val="en-US" w:eastAsia="zh-CN"/>
              </w:rPr>
            </w:pPr>
            <w:r>
              <w:rPr>
                <w:rFonts w:hint="default" w:ascii="Times New Roman" w:hAnsi="Times New Roman" w:eastAsia="黑体" w:cs="Times New Roman"/>
                <w:b/>
                <w:bCs/>
                <w:sz w:val="24"/>
                <w:szCs w:val="24"/>
                <w:vertAlign w:val="baseline"/>
                <w:lang w:val="en-US" w:eastAsia="zh-CN"/>
              </w:rPr>
              <w:t>职责</w:t>
            </w:r>
          </w:p>
        </w:tc>
      </w:tr>
      <w:tr w14:paraId="22B9F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63A6B96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1</w:t>
            </w:r>
          </w:p>
        </w:tc>
        <w:tc>
          <w:tcPr>
            <w:tcW w:w="599" w:type="pct"/>
            <w:vAlign w:val="center"/>
          </w:tcPr>
          <w:p w14:paraId="0D0543A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2026.7-2029.6</w:t>
            </w:r>
          </w:p>
        </w:tc>
        <w:tc>
          <w:tcPr>
            <w:tcW w:w="1967" w:type="pct"/>
            <w:vAlign w:val="center"/>
          </w:tcPr>
          <w:p w14:paraId="5913CFBF">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盐碱地番茄绿色生产理论与技术研创</w:t>
            </w:r>
          </w:p>
        </w:tc>
        <w:tc>
          <w:tcPr>
            <w:tcW w:w="1410" w:type="pct"/>
            <w:vAlign w:val="center"/>
          </w:tcPr>
          <w:p w14:paraId="5FA3D934">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山东省自然科学基金青年科学基金项目A类（原杰青）</w:t>
            </w:r>
          </w:p>
        </w:tc>
        <w:tc>
          <w:tcPr>
            <w:tcW w:w="436" w:type="pct"/>
            <w:vAlign w:val="center"/>
          </w:tcPr>
          <w:p w14:paraId="00EA78D6">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100</w:t>
            </w:r>
          </w:p>
        </w:tc>
        <w:tc>
          <w:tcPr>
            <w:tcW w:w="275" w:type="pct"/>
            <w:vAlign w:val="center"/>
          </w:tcPr>
          <w:p w14:paraId="4983BC86">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主持</w:t>
            </w:r>
          </w:p>
        </w:tc>
      </w:tr>
      <w:tr w14:paraId="345CC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155531B3">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2</w:t>
            </w:r>
          </w:p>
        </w:tc>
        <w:tc>
          <w:tcPr>
            <w:tcW w:w="599" w:type="pct"/>
            <w:shd w:val="clear" w:color="auto" w:fill="auto"/>
            <w:vAlign w:val="center"/>
          </w:tcPr>
          <w:p w14:paraId="39CEAD3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2023.1-2025.12</w:t>
            </w:r>
          </w:p>
        </w:tc>
        <w:tc>
          <w:tcPr>
            <w:tcW w:w="1967" w:type="pct"/>
            <w:shd w:val="clear" w:color="auto" w:fill="auto"/>
            <w:vAlign w:val="center"/>
          </w:tcPr>
          <w:p w14:paraId="6603AC23">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泰山学者青年专家</w:t>
            </w:r>
          </w:p>
        </w:tc>
        <w:tc>
          <w:tcPr>
            <w:tcW w:w="1410" w:type="pct"/>
            <w:shd w:val="clear" w:color="auto" w:fill="auto"/>
            <w:vAlign w:val="center"/>
          </w:tcPr>
          <w:p w14:paraId="00CC7889">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泰山学者人才工程项目</w:t>
            </w:r>
          </w:p>
        </w:tc>
        <w:tc>
          <w:tcPr>
            <w:tcW w:w="436" w:type="pct"/>
            <w:shd w:val="clear" w:color="auto" w:fill="auto"/>
            <w:vAlign w:val="center"/>
          </w:tcPr>
          <w:p w14:paraId="7360B93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75</w:t>
            </w:r>
          </w:p>
        </w:tc>
        <w:tc>
          <w:tcPr>
            <w:tcW w:w="275" w:type="pct"/>
            <w:shd w:val="clear" w:color="auto" w:fill="auto"/>
            <w:vAlign w:val="center"/>
          </w:tcPr>
          <w:p w14:paraId="07D236F6">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主持</w:t>
            </w:r>
          </w:p>
        </w:tc>
      </w:tr>
      <w:tr w14:paraId="7CAA5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1A149EF9">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3</w:t>
            </w:r>
          </w:p>
        </w:tc>
        <w:tc>
          <w:tcPr>
            <w:tcW w:w="599" w:type="pct"/>
            <w:shd w:val="clear" w:color="auto" w:fill="auto"/>
            <w:vAlign w:val="center"/>
          </w:tcPr>
          <w:p w14:paraId="5ABF5BE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2026.1-2029.12</w:t>
            </w:r>
          </w:p>
        </w:tc>
        <w:tc>
          <w:tcPr>
            <w:tcW w:w="1967" w:type="pct"/>
            <w:shd w:val="clear" w:color="auto" w:fill="auto"/>
            <w:vAlign w:val="center"/>
          </w:tcPr>
          <w:p w14:paraId="517773D3">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sz w:val="24"/>
                <w:szCs w:val="24"/>
              </w:rPr>
              <w:t>盐胁迫下根源ABA通过SlSnRK2.6-SlZHD8模块协同调控番茄果实糖含量和耐盐性的机制研究</w:t>
            </w:r>
          </w:p>
        </w:tc>
        <w:tc>
          <w:tcPr>
            <w:tcW w:w="1410" w:type="pct"/>
            <w:shd w:val="clear" w:color="auto" w:fill="auto"/>
            <w:vAlign w:val="center"/>
          </w:tcPr>
          <w:p w14:paraId="7FB71B80">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国家自然科学基金面上项目</w:t>
            </w:r>
          </w:p>
        </w:tc>
        <w:tc>
          <w:tcPr>
            <w:tcW w:w="436" w:type="pct"/>
            <w:shd w:val="clear" w:color="auto" w:fill="auto"/>
            <w:vAlign w:val="center"/>
          </w:tcPr>
          <w:p w14:paraId="794B587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50</w:t>
            </w:r>
          </w:p>
        </w:tc>
        <w:tc>
          <w:tcPr>
            <w:tcW w:w="275" w:type="pct"/>
            <w:shd w:val="clear" w:color="auto" w:fill="auto"/>
            <w:vAlign w:val="center"/>
          </w:tcPr>
          <w:p w14:paraId="5BE525A1">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主持</w:t>
            </w:r>
          </w:p>
        </w:tc>
      </w:tr>
      <w:tr w14:paraId="3D532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7280693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4</w:t>
            </w:r>
          </w:p>
        </w:tc>
        <w:tc>
          <w:tcPr>
            <w:tcW w:w="599" w:type="pct"/>
            <w:shd w:val="clear" w:color="auto" w:fill="auto"/>
            <w:vAlign w:val="center"/>
          </w:tcPr>
          <w:p w14:paraId="6864C380">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2023.1-2026.12</w:t>
            </w:r>
          </w:p>
        </w:tc>
        <w:tc>
          <w:tcPr>
            <w:tcW w:w="1967" w:type="pct"/>
            <w:shd w:val="clear" w:color="auto" w:fill="auto"/>
            <w:vAlign w:val="center"/>
          </w:tcPr>
          <w:p w14:paraId="6CD9723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sz w:val="24"/>
                <w:szCs w:val="24"/>
              </w:rPr>
              <w:t>褪黑素和一氧化氮互作调控H</w:t>
            </w:r>
            <w:r>
              <w:rPr>
                <w:rFonts w:hint="default" w:ascii="Times New Roman" w:hAnsi="Times New Roman" w:cs="Times New Roman"/>
                <w:sz w:val="24"/>
                <w:szCs w:val="24"/>
                <w:vertAlign w:val="superscript"/>
              </w:rPr>
              <w:t>+</w:t>
            </w:r>
            <w:r>
              <w:rPr>
                <w:rFonts w:hint="default" w:ascii="Times New Roman" w:hAnsi="Times New Roman" w:cs="Times New Roman"/>
                <w:sz w:val="24"/>
                <w:szCs w:val="24"/>
              </w:rPr>
              <w:t>-ATPase提高番茄盐碱抗性的机理研究</w:t>
            </w:r>
          </w:p>
        </w:tc>
        <w:tc>
          <w:tcPr>
            <w:tcW w:w="1410" w:type="pct"/>
            <w:shd w:val="clear" w:color="auto" w:fill="auto"/>
            <w:vAlign w:val="center"/>
          </w:tcPr>
          <w:p w14:paraId="66E6F3E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国家自然科学基金面上项目</w:t>
            </w:r>
          </w:p>
        </w:tc>
        <w:tc>
          <w:tcPr>
            <w:tcW w:w="436" w:type="pct"/>
            <w:shd w:val="clear" w:color="auto" w:fill="auto"/>
            <w:vAlign w:val="center"/>
          </w:tcPr>
          <w:p w14:paraId="520D4460">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54</w:t>
            </w:r>
          </w:p>
        </w:tc>
        <w:tc>
          <w:tcPr>
            <w:tcW w:w="275" w:type="pct"/>
            <w:shd w:val="clear" w:color="auto" w:fill="auto"/>
            <w:vAlign w:val="center"/>
          </w:tcPr>
          <w:p w14:paraId="41110ACA">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主持</w:t>
            </w:r>
          </w:p>
        </w:tc>
      </w:tr>
      <w:tr w14:paraId="19234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77B02B18">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5</w:t>
            </w:r>
          </w:p>
        </w:tc>
        <w:tc>
          <w:tcPr>
            <w:tcW w:w="599" w:type="pct"/>
            <w:shd w:val="clear" w:color="auto" w:fill="auto"/>
            <w:vAlign w:val="center"/>
          </w:tcPr>
          <w:p w14:paraId="6BCB3C1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2019.1-2022.12</w:t>
            </w:r>
          </w:p>
        </w:tc>
        <w:tc>
          <w:tcPr>
            <w:tcW w:w="1967" w:type="pct"/>
            <w:shd w:val="clear" w:color="auto" w:fill="auto"/>
            <w:vAlign w:val="center"/>
          </w:tcPr>
          <w:p w14:paraId="2EDA5FC1">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sz w:val="24"/>
                <w:szCs w:val="24"/>
              </w:rPr>
              <w:t>GSNOR参与生长素信号调控番茄侧枝发生的生理与分子机制</w:t>
            </w:r>
          </w:p>
        </w:tc>
        <w:tc>
          <w:tcPr>
            <w:tcW w:w="1410" w:type="pct"/>
            <w:shd w:val="clear" w:color="auto" w:fill="auto"/>
            <w:vAlign w:val="center"/>
          </w:tcPr>
          <w:p w14:paraId="3C70299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国家自然科学基金面上项目</w:t>
            </w:r>
          </w:p>
        </w:tc>
        <w:tc>
          <w:tcPr>
            <w:tcW w:w="436" w:type="pct"/>
            <w:shd w:val="clear" w:color="auto" w:fill="auto"/>
            <w:vAlign w:val="center"/>
          </w:tcPr>
          <w:p w14:paraId="4C5A4B03">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60</w:t>
            </w:r>
          </w:p>
        </w:tc>
        <w:tc>
          <w:tcPr>
            <w:tcW w:w="275" w:type="pct"/>
            <w:shd w:val="clear" w:color="auto" w:fill="auto"/>
            <w:vAlign w:val="center"/>
          </w:tcPr>
          <w:p w14:paraId="254C556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主持</w:t>
            </w:r>
          </w:p>
        </w:tc>
      </w:tr>
      <w:tr w14:paraId="5104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17A8A175">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6</w:t>
            </w:r>
          </w:p>
        </w:tc>
        <w:tc>
          <w:tcPr>
            <w:tcW w:w="599" w:type="pct"/>
            <w:shd w:val="clear" w:color="auto" w:fill="auto"/>
            <w:vAlign w:val="center"/>
          </w:tcPr>
          <w:p w14:paraId="338D68AB">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2020.1-2022.12</w:t>
            </w:r>
          </w:p>
        </w:tc>
        <w:tc>
          <w:tcPr>
            <w:tcW w:w="1967" w:type="pct"/>
            <w:shd w:val="clear" w:color="auto" w:fill="auto"/>
            <w:vAlign w:val="center"/>
          </w:tcPr>
          <w:p w14:paraId="7FA4B4D0">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sz w:val="24"/>
                <w:szCs w:val="24"/>
              </w:rPr>
              <w:t>褪黑素调控番茄根系泌酸促进碱性盐胁迫下磷素高效利用的作用机制</w:t>
            </w:r>
          </w:p>
        </w:tc>
        <w:tc>
          <w:tcPr>
            <w:tcW w:w="1410" w:type="pct"/>
            <w:shd w:val="clear" w:color="auto" w:fill="auto"/>
            <w:vAlign w:val="center"/>
          </w:tcPr>
          <w:p w14:paraId="64AA3D2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国家自然科学基金联合基金项目</w:t>
            </w:r>
          </w:p>
        </w:tc>
        <w:tc>
          <w:tcPr>
            <w:tcW w:w="436" w:type="pct"/>
            <w:shd w:val="clear" w:color="auto" w:fill="auto"/>
            <w:vAlign w:val="center"/>
          </w:tcPr>
          <w:p w14:paraId="0443EF6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57</w:t>
            </w:r>
          </w:p>
        </w:tc>
        <w:tc>
          <w:tcPr>
            <w:tcW w:w="275" w:type="pct"/>
            <w:shd w:val="clear" w:color="auto" w:fill="auto"/>
            <w:vAlign w:val="center"/>
          </w:tcPr>
          <w:p w14:paraId="1F873B9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主持</w:t>
            </w:r>
          </w:p>
        </w:tc>
      </w:tr>
      <w:tr w14:paraId="4D78F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29DCF819">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7</w:t>
            </w:r>
          </w:p>
        </w:tc>
        <w:tc>
          <w:tcPr>
            <w:tcW w:w="599" w:type="pct"/>
            <w:shd w:val="clear" w:color="auto" w:fill="auto"/>
            <w:vAlign w:val="center"/>
          </w:tcPr>
          <w:p w14:paraId="71451BA5">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2016.1-2018.12</w:t>
            </w:r>
          </w:p>
        </w:tc>
        <w:tc>
          <w:tcPr>
            <w:tcW w:w="1967" w:type="pct"/>
            <w:shd w:val="clear" w:color="auto" w:fill="auto"/>
            <w:vAlign w:val="center"/>
          </w:tcPr>
          <w:p w14:paraId="1025134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sz w:val="24"/>
                <w:szCs w:val="24"/>
              </w:rPr>
              <w:t>GSNOR介导蛋白质亚硝基化调控番茄耐碱性机理研究</w:t>
            </w:r>
          </w:p>
        </w:tc>
        <w:tc>
          <w:tcPr>
            <w:tcW w:w="1410" w:type="pct"/>
            <w:shd w:val="clear" w:color="auto" w:fill="auto"/>
            <w:vAlign w:val="center"/>
          </w:tcPr>
          <w:p w14:paraId="5AE5E56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国家自然科学基金青年科学基金项目</w:t>
            </w:r>
          </w:p>
        </w:tc>
        <w:tc>
          <w:tcPr>
            <w:tcW w:w="436" w:type="pct"/>
            <w:shd w:val="clear" w:color="auto" w:fill="auto"/>
            <w:vAlign w:val="center"/>
          </w:tcPr>
          <w:p w14:paraId="381ECAA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25.2</w:t>
            </w:r>
          </w:p>
        </w:tc>
        <w:tc>
          <w:tcPr>
            <w:tcW w:w="275" w:type="pct"/>
            <w:shd w:val="clear" w:color="auto" w:fill="auto"/>
            <w:vAlign w:val="center"/>
          </w:tcPr>
          <w:p w14:paraId="49FE7A3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sz w:val="24"/>
                <w:szCs w:val="24"/>
                <w:vertAlign w:val="baseline"/>
                <w:lang w:val="en-US" w:eastAsia="zh-CN"/>
              </w:rPr>
              <w:t>主持</w:t>
            </w:r>
          </w:p>
        </w:tc>
      </w:tr>
      <w:tr w14:paraId="21590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13BA5BB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8</w:t>
            </w:r>
          </w:p>
        </w:tc>
        <w:tc>
          <w:tcPr>
            <w:tcW w:w="599" w:type="pct"/>
            <w:shd w:val="clear" w:color="auto" w:fill="auto"/>
            <w:vAlign w:val="center"/>
          </w:tcPr>
          <w:p w14:paraId="6D6FC97F">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kern w:val="2"/>
                <w:sz w:val="24"/>
                <w:szCs w:val="24"/>
                <w:vertAlign w:val="baseline"/>
                <w:lang w:val="en-US" w:eastAsia="zh-CN" w:bidi="ar-SA"/>
              </w:rPr>
              <w:t>2023.7-2025.7</w:t>
            </w:r>
          </w:p>
        </w:tc>
        <w:tc>
          <w:tcPr>
            <w:tcW w:w="1967" w:type="pct"/>
            <w:shd w:val="clear" w:color="auto" w:fill="auto"/>
            <w:vAlign w:val="center"/>
          </w:tcPr>
          <w:p w14:paraId="4FD58269">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eastAsia="宋体" w:cs="Times New Roman"/>
                <w:b w:val="0"/>
                <w:bCs w:val="0"/>
                <w:kern w:val="2"/>
                <w:sz w:val="24"/>
                <w:szCs w:val="24"/>
                <w:vertAlign w:val="baseline"/>
                <w:lang w:val="en-US" w:eastAsia="zh-CN" w:bidi="ar-SA"/>
              </w:rPr>
              <w:t>替代进口串收番茄新品种筛选及生态高效栽培技术创新与应用</w:t>
            </w:r>
          </w:p>
        </w:tc>
        <w:tc>
          <w:tcPr>
            <w:tcW w:w="1410" w:type="pct"/>
            <w:shd w:val="clear" w:color="auto" w:fill="auto"/>
            <w:vAlign w:val="center"/>
          </w:tcPr>
          <w:p w14:paraId="087002D1">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eastAsia="宋体" w:cs="Times New Roman"/>
                <w:b w:val="0"/>
                <w:bCs w:val="0"/>
                <w:kern w:val="2"/>
                <w:sz w:val="24"/>
                <w:szCs w:val="24"/>
                <w:vertAlign w:val="baseline"/>
                <w:lang w:val="en-US" w:eastAsia="zh-CN" w:bidi="ar-SA"/>
              </w:rPr>
              <w:t>山东省科技型中小企业创新能力提升工程</w:t>
            </w:r>
          </w:p>
        </w:tc>
        <w:tc>
          <w:tcPr>
            <w:tcW w:w="436" w:type="pct"/>
            <w:shd w:val="clear" w:color="auto" w:fill="auto"/>
            <w:vAlign w:val="center"/>
          </w:tcPr>
          <w:p w14:paraId="35DF189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kern w:val="2"/>
                <w:sz w:val="24"/>
                <w:szCs w:val="24"/>
                <w:vertAlign w:val="baseline"/>
                <w:lang w:val="en-US" w:eastAsia="zh-CN" w:bidi="ar-SA"/>
              </w:rPr>
            </w:pPr>
            <w:r>
              <w:rPr>
                <w:rFonts w:hint="default" w:ascii="Times New Roman" w:hAnsi="Times New Roman" w:cs="Times New Roman"/>
                <w:b w:val="0"/>
                <w:bCs w:val="0"/>
                <w:kern w:val="2"/>
                <w:sz w:val="24"/>
                <w:szCs w:val="24"/>
                <w:vertAlign w:val="baseline"/>
                <w:lang w:val="en-US" w:eastAsia="zh-CN" w:bidi="ar-SA"/>
              </w:rPr>
              <w:t>80</w:t>
            </w:r>
          </w:p>
        </w:tc>
        <w:tc>
          <w:tcPr>
            <w:tcW w:w="275" w:type="pct"/>
            <w:vAlign w:val="center"/>
          </w:tcPr>
          <w:p w14:paraId="028E766A">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主持</w:t>
            </w:r>
          </w:p>
        </w:tc>
      </w:tr>
      <w:tr w14:paraId="06F15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59EEC70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9</w:t>
            </w:r>
          </w:p>
        </w:tc>
        <w:tc>
          <w:tcPr>
            <w:tcW w:w="599" w:type="pct"/>
            <w:vAlign w:val="center"/>
          </w:tcPr>
          <w:p w14:paraId="4CFFD2F9">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2022.1-2024.12</w:t>
            </w:r>
          </w:p>
        </w:tc>
        <w:tc>
          <w:tcPr>
            <w:tcW w:w="1967" w:type="pct"/>
            <w:vAlign w:val="center"/>
          </w:tcPr>
          <w:p w14:paraId="20E86FB5">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sz w:val="24"/>
                <w:szCs w:val="24"/>
                <w:lang w:eastAsia="zh-CN"/>
              </w:rPr>
              <w:t>蔬菜作物育种与高效栽培创新团队</w:t>
            </w:r>
          </w:p>
        </w:tc>
        <w:tc>
          <w:tcPr>
            <w:tcW w:w="1410" w:type="pct"/>
            <w:vAlign w:val="center"/>
          </w:tcPr>
          <w:p w14:paraId="2ACBFC95">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sz w:val="24"/>
                <w:szCs w:val="24"/>
                <w:lang w:eastAsia="zh-CN"/>
              </w:rPr>
              <w:t>山东省高等学校“青创科技支持计划”</w:t>
            </w:r>
          </w:p>
        </w:tc>
        <w:tc>
          <w:tcPr>
            <w:tcW w:w="436" w:type="pct"/>
            <w:vAlign w:val="center"/>
          </w:tcPr>
          <w:p w14:paraId="70C11A74">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50</w:t>
            </w:r>
          </w:p>
        </w:tc>
        <w:tc>
          <w:tcPr>
            <w:tcW w:w="275" w:type="pct"/>
            <w:vAlign w:val="center"/>
          </w:tcPr>
          <w:p w14:paraId="4C5F6EE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主持</w:t>
            </w:r>
          </w:p>
        </w:tc>
      </w:tr>
      <w:tr w14:paraId="2528E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 w:type="pct"/>
            <w:vAlign w:val="center"/>
          </w:tcPr>
          <w:p w14:paraId="1B5189F1">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10</w:t>
            </w:r>
          </w:p>
        </w:tc>
        <w:tc>
          <w:tcPr>
            <w:tcW w:w="599" w:type="pct"/>
            <w:vAlign w:val="center"/>
          </w:tcPr>
          <w:p w14:paraId="62B53FF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2019.7-2022.6</w:t>
            </w:r>
          </w:p>
        </w:tc>
        <w:tc>
          <w:tcPr>
            <w:tcW w:w="1967" w:type="pct"/>
            <w:vAlign w:val="center"/>
          </w:tcPr>
          <w:p w14:paraId="31FDD663">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sz w:val="24"/>
                <w:szCs w:val="24"/>
              </w:rPr>
              <w:t>一氧化氮调控番茄顶端优势的分子生理机制</w:t>
            </w:r>
          </w:p>
        </w:tc>
        <w:tc>
          <w:tcPr>
            <w:tcW w:w="1410" w:type="pct"/>
            <w:vAlign w:val="center"/>
          </w:tcPr>
          <w:p w14:paraId="70669CB1">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sz w:val="24"/>
                <w:szCs w:val="24"/>
              </w:rPr>
              <w:t>山东省自然科学基金面上项目</w:t>
            </w:r>
          </w:p>
        </w:tc>
        <w:tc>
          <w:tcPr>
            <w:tcW w:w="436" w:type="pct"/>
            <w:vAlign w:val="center"/>
          </w:tcPr>
          <w:p w14:paraId="2330D83A">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20</w:t>
            </w:r>
          </w:p>
        </w:tc>
        <w:tc>
          <w:tcPr>
            <w:tcW w:w="275" w:type="pct"/>
            <w:vAlign w:val="center"/>
          </w:tcPr>
          <w:p w14:paraId="61236D9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b w:val="0"/>
                <w:bCs w:val="0"/>
                <w:sz w:val="24"/>
                <w:szCs w:val="24"/>
                <w:vertAlign w:val="baseline"/>
                <w:lang w:val="en-US" w:eastAsia="zh-CN"/>
              </w:rPr>
            </w:pPr>
            <w:r>
              <w:rPr>
                <w:rFonts w:hint="default" w:ascii="Times New Roman" w:hAnsi="Times New Roman" w:cs="Times New Roman"/>
                <w:b w:val="0"/>
                <w:bCs w:val="0"/>
                <w:sz w:val="24"/>
                <w:szCs w:val="24"/>
                <w:vertAlign w:val="baseline"/>
                <w:lang w:val="en-US" w:eastAsia="zh-CN"/>
              </w:rPr>
              <w:t>主持</w:t>
            </w:r>
          </w:p>
        </w:tc>
      </w:tr>
    </w:tbl>
    <w:p w14:paraId="005CAD3B">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after="157" w:afterLines="50" w:line="360" w:lineRule="auto"/>
        <w:textAlignment w:val="auto"/>
        <w:rPr>
          <w:rFonts w:hint="default" w:ascii="Times New Roman" w:hAnsi="Times New Roman" w:eastAsia="宋体" w:cs="Times New Roman"/>
          <w:b w:val="0"/>
          <w:bCs/>
          <w:color w:val="000000"/>
          <w:sz w:val="24"/>
          <w:szCs w:val="32"/>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998413B-5319-4917-B5D0-870F3C40392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BhYzE0NjQ2M2VkY2ExOThhZGNlMDE5N2E5OTc2NzEifQ=="/>
  </w:docVars>
  <w:rsids>
    <w:rsidRoot w:val="11D83A59"/>
    <w:rsid w:val="01E23011"/>
    <w:rsid w:val="03A44B7B"/>
    <w:rsid w:val="04C74740"/>
    <w:rsid w:val="051244D1"/>
    <w:rsid w:val="0AC43BFC"/>
    <w:rsid w:val="11C21964"/>
    <w:rsid w:val="11D83A59"/>
    <w:rsid w:val="131E7C21"/>
    <w:rsid w:val="136746BD"/>
    <w:rsid w:val="1E1C7E3A"/>
    <w:rsid w:val="24761392"/>
    <w:rsid w:val="26013AFE"/>
    <w:rsid w:val="29AC3D81"/>
    <w:rsid w:val="2B606F9E"/>
    <w:rsid w:val="2BC374EF"/>
    <w:rsid w:val="3628478F"/>
    <w:rsid w:val="369B1EF1"/>
    <w:rsid w:val="3B822B94"/>
    <w:rsid w:val="3B837F40"/>
    <w:rsid w:val="62DD677E"/>
    <w:rsid w:val="6DB616FE"/>
    <w:rsid w:val="71810C1C"/>
    <w:rsid w:val="72EE77D0"/>
    <w:rsid w:val="74B135C7"/>
    <w:rsid w:val="76650B0D"/>
    <w:rsid w:val="76A5715B"/>
    <w:rsid w:val="7D551D2A"/>
    <w:rsid w:val="7ED13E67"/>
    <w:rsid w:val="7EF667A6"/>
    <w:rsid w:val="7F162ACF"/>
    <w:rsid w:val="7F190FAC"/>
    <w:rsid w:val="7F1E3F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4963</Words>
  <Characters>5734</Characters>
  <Lines>0</Lines>
  <Paragraphs>0</Paragraphs>
  <TotalTime>16</TotalTime>
  <ScaleCrop>false</ScaleCrop>
  <LinksUpToDate>false</LinksUpToDate>
  <CharactersWithSpaces>5766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2024-05-11T01:20:00Z</dcterms:created>
  <dc:creator>WPS_1640612682</dc:creator>
  <cp:lastModifiedBy>chenfang</cp:lastModifiedBy>
  <dcterms:modified xsi:type="dcterms:W3CDTF">2026-06-30T01:45:29Z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BE3A053E102A49E0A268BAE256431DBF_13</vt:lpwstr>
  </property>
  <property fmtid="{D5CDD505-2E9C-101B-9397-08002B2CF9AE}" pid="4" name="KSOTemplateDocerSaveRecord">
    <vt:lpwstr>eyJoZGlkIjoiMzE2M2FjYjk1MjAxOWM0ZTM3ODYzNTkzZGQ2Nzg1YTciLCJ1c2VySWQiOiIxMjcyNjg2MDUzIn0=</vt:lpwstr>
  </property>
</Properties>
</file>